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CEA90" w14:textId="77777777" w:rsidR="00864685" w:rsidRPr="001769D8" w:rsidRDefault="00864685" w:rsidP="00864685">
      <w:pPr>
        <w:spacing w:after="0" w:line="360" w:lineRule="auto"/>
        <w:jc w:val="center"/>
        <w:rPr>
          <w:rFonts w:ascii="Sylfaen" w:hAnsi="Sylfaen"/>
          <w:b/>
          <w:bCs/>
          <w:sz w:val="24"/>
          <w:szCs w:val="24"/>
          <w:lang w:val="en-GB"/>
        </w:rPr>
      </w:pPr>
      <w:r w:rsidRPr="001769D8">
        <w:rPr>
          <w:rFonts w:ascii="Sylfaen" w:hAnsi="Sylfaen"/>
          <w:b/>
          <w:bCs/>
          <w:sz w:val="24"/>
          <w:szCs w:val="24"/>
          <w:lang w:val="en-GB"/>
        </w:rPr>
        <w:t>Passport of Archaeological Monument</w:t>
      </w:r>
    </w:p>
    <w:p w14:paraId="706F7BB0" w14:textId="77777777" w:rsidR="00864685" w:rsidRPr="001769D8" w:rsidRDefault="00864685" w:rsidP="00864685">
      <w:pPr>
        <w:spacing w:after="0" w:line="360" w:lineRule="auto"/>
        <w:jc w:val="center"/>
        <w:rPr>
          <w:rFonts w:ascii="Sylfaen" w:hAnsi="Sylfaen"/>
          <w:b/>
          <w:bCs/>
          <w:sz w:val="24"/>
          <w:szCs w:val="24"/>
          <w:lang w:val="en-GB"/>
        </w:rPr>
      </w:pPr>
    </w:p>
    <w:p w14:paraId="7FE905EC" w14:textId="77777777" w:rsidR="00864685" w:rsidRPr="001769D8" w:rsidRDefault="00864685" w:rsidP="00864685">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Name of archaeological site</w:t>
      </w:r>
      <w:r w:rsidRPr="001769D8">
        <w:rPr>
          <w:rFonts w:ascii="Sylfaen" w:hAnsi="Sylfaen"/>
          <w:sz w:val="24"/>
          <w:szCs w:val="24"/>
          <w:lang w:val="en-GB"/>
        </w:rPr>
        <w:t xml:space="preserve">: </w:t>
      </w:r>
      <w:r w:rsidR="00B2321C" w:rsidRPr="001769D8">
        <w:rPr>
          <w:rFonts w:ascii="Sylfaen" w:hAnsi="Sylfaen"/>
          <w:sz w:val="24"/>
          <w:szCs w:val="24"/>
          <w:lang w:val="en-GB"/>
        </w:rPr>
        <w:t>Khutsubani Cemetery.</w:t>
      </w:r>
    </w:p>
    <w:p w14:paraId="299519A9" w14:textId="6A57EE9C" w:rsidR="00864685" w:rsidRPr="001769D8" w:rsidRDefault="00864685" w:rsidP="00864685">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Type of archaeological site:</w:t>
      </w:r>
      <w:r w:rsidRPr="001769D8">
        <w:rPr>
          <w:rFonts w:ascii="Sylfaen" w:hAnsi="Sylfaen"/>
          <w:sz w:val="24"/>
          <w:szCs w:val="24"/>
          <w:lang w:val="en-GB"/>
        </w:rPr>
        <w:t xml:space="preserve"> </w:t>
      </w:r>
      <w:r w:rsidR="00B7522B">
        <w:rPr>
          <w:rFonts w:ascii="Sylfaen" w:hAnsi="Sylfaen"/>
          <w:sz w:val="24"/>
          <w:szCs w:val="24"/>
          <w:lang w:val="en-GB"/>
        </w:rPr>
        <w:t>C</w:t>
      </w:r>
      <w:r w:rsidR="00B2321C" w:rsidRPr="001769D8">
        <w:rPr>
          <w:rFonts w:ascii="Sylfaen" w:hAnsi="Sylfaen"/>
          <w:sz w:val="24"/>
          <w:szCs w:val="24"/>
          <w:lang w:val="en-GB"/>
        </w:rPr>
        <w:t>ult structure</w:t>
      </w:r>
    </w:p>
    <w:p w14:paraId="580623A9" w14:textId="77777777" w:rsidR="00B2321C" w:rsidRPr="001769D8" w:rsidRDefault="00864685" w:rsidP="00B2321C">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Chronological attribution (historical era, exact date)</w:t>
      </w:r>
      <w:r w:rsidRPr="001769D8">
        <w:rPr>
          <w:rFonts w:ascii="Sylfaen" w:hAnsi="Sylfaen"/>
          <w:sz w:val="24"/>
          <w:szCs w:val="24"/>
          <w:lang w:val="en-GB"/>
        </w:rPr>
        <w:t xml:space="preserve"> </w:t>
      </w:r>
      <w:r w:rsidR="00B2321C" w:rsidRPr="001769D8">
        <w:rPr>
          <w:rFonts w:ascii="Sylfaen" w:hAnsi="Sylfaen"/>
          <w:sz w:val="24"/>
          <w:szCs w:val="24"/>
          <w:lang w:val="en-GB"/>
        </w:rPr>
        <w:t>- Late Bronze-Iron Age, 8th-7th centuries BC</w:t>
      </w:r>
    </w:p>
    <w:p w14:paraId="7E92FE3B" w14:textId="77777777" w:rsidR="00B2321C" w:rsidRPr="001769D8" w:rsidRDefault="00864685" w:rsidP="00B2321C">
      <w:pPr>
        <w:tabs>
          <w:tab w:val="left" w:pos="360"/>
        </w:tabs>
        <w:spacing w:after="0" w:line="360" w:lineRule="auto"/>
        <w:ind w:firstLine="720"/>
        <w:jc w:val="both"/>
        <w:rPr>
          <w:rFonts w:ascii="Sylfaen" w:hAnsi="Sylfaen"/>
          <w:sz w:val="24"/>
          <w:szCs w:val="24"/>
          <w:lang w:val="en-GB"/>
        </w:rPr>
      </w:pPr>
      <w:r w:rsidRPr="001769D8">
        <w:rPr>
          <w:rFonts w:ascii="Sylfaen" w:hAnsi="Sylfaen"/>
          <w:b/>
          <w:bCs/>
          <w:sz w:val="24"/>
          <w:szCs w:val="24"/>
          <w:lang w:val="en-GB"/>
        </w:rPr>
        <w:t>Address (municipality, city, village, valley, GPS Coordinates)</w:t>
      </w:r>
      <w:r w:rsidRPr="001769D8">
        <w:rPr>
          <w:rFonts w:ascii="Sylfaen" w:hAnsi="Sylfaen"/>
          <w:sz w:val="24"/>
          <w:szCs w:val="24"/>
          <w:lang w:val="en-GB"/>
        </w:rPr>
        <w:t xml:space="preserve"> </w:t>
      </w:r>
      <w:r w:rsidR="00B2321C" w:rsidRPr="001769D8">
        <w:rPr>
          <w:rFonts w:ascii="Sylfaen" w:hAnsi="Sylfaen"/>
          <w:sz w:val="24"/>
          <w:szCs w:val="24"/>
          <w:lang w:val="en-GB"/>
        </w:rPr>
        <w:t>–</w:t>
      </w:r>
      <w:r w:rsidRPr="001769D8">
        <w:rPr>
          <w:rFonts w:ascii="Sylfaen" w:hAnsi="Sylfaen"/>
          <w:sz w:val="24"/>
          <w:szCs w:val="24"/>
          <w:lang w:val="en-GB"/>
        </w:rPr>
        <w:t xml:space="preserve"> </w:t>
      </w:r>
      <w:r w:rsidR="00B2321C" w:rsidRPr="001769D8">
        <w:rPr>
          <w:rFonts w:ascii="Sylfaen" w:hAnsi="Sylfaen"/>
          <w:sz w:val="24"/>
          <w:szCs w:val="24"/>
          <w:lang w:val="en-GB"/>
        </w:rPr>
        <w:t>Georgia, Kobuleti municipality, Kintrishi valley, village Khutsubani. GPS coordinates: N 41˚ 48.057 E 041˚ 51.168</w:t>
      </w:r>
    </w:p>
    <w:p w14:paraId="68301697" w14:textId="77777777" w:rsidR="00907502" w:rsidRPr="001769D8" w:rsidRDefault="00864685" w:rsidP="00907502">
      <w:pPr>
        <w:spacing w:after="0" w:line="360" w:lineRule="auto"/>
        <w:ind w:firstLine="720"/>
        <w:jc w:val="both"/>
        <w:rPr>
          <w:rFonts w:ascii="Sylfaen" w:hAnsi="Sylfaen"/>
          <w:b/>
          <w:bCs/>
          <w:sz w:val="24"/>
          <w:szCs w:val="24"/>
          <w:lang w:val="en-GB"/>
        </w:rPr>
      </w:pPr>
      <w:r w:rsidRPr="001769D8">
        <w:rPr>
          <w:rFonts w:ascii="Sylfaen" w:hAnsi="Sylfaen"/>
          <w:b/>
          <w:bCs/>
          <w:sz w:val="24"/>
          <w:szCs w:val="24"/>
          <w:lang w:val="en-GB"/>
        </w:rPr>
        <w:t>History of study/research (circumstances of discovery, studies conducted on the monument, researchers working on the monument, bibliography):</w:t>
      </w:r>
    </w:p>
    <w:p w14:paraId="17DF941F"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Information about the Late Bronze Age archaeological monuments of Khutsubani dates back to as early as 1879, when the prominent Georgian public figure Gulo Kaikatsishvili visited the Kintrishi River. During the construction of a military bridge over the Kintrishi River (between Khutsubani and Kobuleti), he accidentally discovered bronze axes and presented one of them to Sergey Meskhi, editor of the newspaper</w:t>
      </w:r>
      <w:r w:rsidRPr="001769D8">
        <w:rPr>
          <w:rStyle w:val="apple-converted-space"/>
          <w:rFonts w:ascii="Sylfaen" w:hAnsi="Sylfaen"/>
          <w:color w:val="000000"/>
          <w:sz w:val="24"/>
          <w:szCs w:val="24"/>
          <w:lang w:val="en-GB"/>
        </w:rPr>
        <w:t> </w:t>
      </w:r>
      <w:r w:rsidRPr="001769D8">
        <w:rPr>
          <w:rStyle w:val="Emphasis"/>
          <w:rFonts w:ascii="Sylfaen" w:hAnsi="Sylfaen"/>
          <w:i w:val="0"/>
          <w:iCs w:val="0"/>
          <w:color w:val="000000"/>
          <w:sz w:val="24"/>
          <w:szCs w:val="24"/>
          <w:lang w:val="en-GB"/>
        </w:rPr>
        <w:t>Droeba</w:t>
      </w:r>
      <w:r w:rsidRPr="001769D8">
        <w:rPr>
          <w:rFonts w:ascii="Sylfaen" w:hAnsi="Sylfaen"/>
          <w:color w:val="000000"/>
          <w:sz w:val="24"/>
          <w:szCs w:val="24"/>
          <w:lang w:val="en-GB"/>
        </w:rPr>
        <w:t>. In reports submitted to the Fifth Congress of Archaeologists in 1881, G. Tsereteli and A. Komarov drew particular attention to these discoveries. According to a letter by A. Komarov, in the autumn of 1881 Gulo Kaikatsishvili discovered a number of interesting artifacts in the collapsed soil along the banks of the Kintrishi River in Khutsubani; subsequently, at his request and expense, archaeological investigations were conducted at the site by the French journalist Jean Mourier, who also discovered a bronze axe.</w:t>
      </w:r>
    </w:p>
    <w:p w14:paraId="77422700"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The Khutsubani finds also attracted the attention of Grigol Gurieli and Ekvtime Takaishvili in the 1890s. In 1896, Ekvtime Takaishvili conducted archaeological excavations in the area indicated by Gulo Kaikatsishvili. A burnt layer containing stone tools, fragments of iron or bronze spearheads, and ceramic material was uncovered.</w:t>
      </w:r>
    </w:p>
    <w:p w14:paraId="3FDF1E9D"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lastRenderedPageBreak/>
        <w:t>The whereabouts of the archaeological material discovered in the 1880s and 1890s - including bronze axes, spearheads, fibulae, belt fragments, bracelets, bronze vessels, bronze lion figurines, bronze buckles, some bearing horse-head motifs, beads of various materials and forms, and ceramics - remain unknown to this day.</w:t>
      </w:r>
    </w:p>
    <w:p w14:paraId="6DA6515D"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 xml:space="preserve">In 1944, archaeological excavations were conducted at the site by </w:t>
      </w:r>
      <w:r w:rsidRPr="001579C9">
        <w:rPr>
          <w:rFonts w:ascii="Sylfaen" w:hAnsi="Sylfaen"/>
          <w:b/>
          <w:bCs/>
          <w:color w:val="EE0000"/>
          <w:sz w:val="24"/>
          <w:szCs w:val="24"/>
          <w:lang w:val="en-GB"/>
        </w:rPr>
        <w:t>Avtandil Ioseliani</w:t>
      </w:r>
      <w:r w:rsidRPr="001769D8">
        <w:rPr>
          <w:rFonts w:ascii="Sylfaen" w:hAnsi="Sylfaen"/>
          <w:color w:val="000000"/>
          <w:sz w:val="24"/>
          <w:szCs w:val="24"/>
          <w:lang w:val="en-GB"/>
        </w:rPr>
        <w:t>, confirming the existence of a Late Bronze Age - Early Iron Age cemetery. Eight burial pits were uncovered, situated close to one another at the confluence of the Kintrishi and Uriasghele rivers. These were individual, quadrangular burial pits with rounded corners. The dimensions of the stone cairns constructed over the graves were approximately twice those of the burial pits themselves (for example, Grave No. 1 measured 1.50 m in length, while the stone cairn measured 3.70 m).</w:t>
      </w:r>
    </w:p>
    <w:p w14:paraId="208C3EF2"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Archaeologist N. Gobejishvili drew attention to the shape of the Khutsubani tombs. According to the researcher, the pit tombs at Khutsubani are most closely comparable in construction to those at Tlia, Ergeta I, Kumushi, Nesterovskaya, and Muzhichi.</w:t>
      </w:r>
    </w:p>
    <w:p w14:paraId="3F577B98" w14:textId="77777777" w:rsidR="00907502" w:rsidRPr="001769D8" w:rsidRDefault="00907502" w:rsidP="00907502">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No human remains were found at Khutsubani. The large quantities of ash and charcoal recovered from the pits indicate that cremation was practiced. It is believed that the deceased were cremated in the tombs together with their belongings, in a supine position.</w:t>
      </w:r>
    </w:p>
    <w:p w14:paraId="1A2D3A1B" w14:textId="710C3FEF" w:rsidR="001769D8" w:rsidRPr="001769D8" w:rsidRDefault="00907502" w:rsidP="001769D8">
      <w:pPr>
        <w:spacing w:after="0" w:line="360" w:lineRule="auto"/>
        <w:ind w:firstLine="720"/>
        <w:jc w:val="both"/>
        <w:rPr>
          <w:rFonts w:ascii="Sylfaen" w:hAnsi="Sylfaen"/>
          <w:color w:val="000000"/>
          <w:sz w:val="24"/>
          <w:szCs w:val="24"/>
          <w:lang w:val="en-GB"/>
        </w:rPr>
      </w:pPr>
      <w:r w:rsidRPr="001769D8">
        <w:rPr>
          <w:rFonts w:ascii="Sylfaen" w:hAnsi="Sylfaen"/>
          <w:color w:val="000000"/>
          <w:sz w:val="24"/>
          <w:szCs w:val="24"/>
          <w:lang w:val="en-GB"/>
        </w:rPr>
        <w:t xml:space="preserve">As a result of the 1944 excavations, a small quantity of ceramic material was recovered, of which a cup with a conical base is relatively well preserved. The bronze artifacts include Type I Colchian axes, a single-winged axe, a miniature axe, figurines, an umbo, and decorated belt fragments. Among the iron artifacts, only a small section of a blade and its handle </w:t>
      </w:r>
      <w:r w:rsidR="00B7522B" w:rsidRPr="001769D8">
        <w:rPr>
          <w:rFonts w:ascii="Sylfaen" w:hAnsi="Sylfaen"/>
          <w:color w:val="000000"/>
          <w:sz w:val="24"/>
          <w:szCs w:val="24"/>
          <w:lang w:val="en-GB"/>
        </w:rPr>
        <w:t>have</w:t>
      </w:r>
      <w:r w:rsidRPr="001769D8">
        <w:rPr>
          <w:rFonts w:ascii="Sylfaen" w:hAnsi="Sylfaen"/>
          <w:color w:val="000000"/>
          <w:sz w:val="24"/>
          <w:szCs w:val="24"/>
          <w:lang w:val="en-GB"/>
        </w:rPr>
        <w:t xml:space="preserve"> been preserved. Sardonyx and glass beads are also well preserved.</w:t>
      </w:r>
    </w:p>
    <w:p w14:paraId="541AE703" w14:textId="77777777" w:rsidR="00907502" w:rsidRPr="001769D8" w:rsidRDefault="001769D8" w:rsidP="001769D8">
      <w:pPr>
        <w:spacing w:after="0" w:line="360" w:lineRule="auto"/>
        <w:ind w:firstLine="720"/>
        <w:jc w:val="both"/>
        <w:rPr>
          <w:rFonts w:ascii="Sylfaen" w:hAnsi="Sylfaen"/>
          <w:color w:val="000000"/>
          <w:sz w:val="28"/>
          <w:szCs w:val="28"/>
          <w:lang w:val="en-GB"/>
        </w:rPr>
      </w:pPr>
      <w:r w:rsidRPr="001769D8">
        <w:rPr>
          <w:rFonts w:ascii="Sylfaen" w:hAnsi="Sylfaen"/>
          <w:color w:val="000000"/>
          <w:sz w:val="24"/>
          <w:szCs w:val="24"/>
          <w:lang w:val="en-GB"/>
        </w:rPr>
        <w:t>Part of the burial assemblage recovered from the Khutsubani cemetery is preserved at the Khariton Akhvlediani Museum of the Adjara Museum.</w:t>
      </w:r>
    </w:p>
    <w:p w14:paraId="271D49B0" w14:textId="77777777" w:rsidR="0087305E" w:rsidRPr="001769D8" w:rsidRDefault="0087305E" w:rsidP="00593C8C">
      <w:pPr>
        <w:spacing w:after="0" w:line="360" w:lineRule="auto"/>
        <w:ind w:firstLine="720"/>
        <w:jc w:val="both"/>
        <w:rPr>
          <w:rFonts w:ascii="Sylfaen" w:hAnsi="Sylfaen"/>
          <w:b/>
          <w:bCs/>
          <w:color w:val="000000"/>
          <w:sz w:val="24"/>
          <w:szCs w:val="24"/>
          <w:lang w:val="en-GB"/>
        </w:rPr>
      </w:pPr>
    </w:p>
    <w:p w14:paraId="29A0B87C" w14:textId="77777777" w:rsidR="001769D8" w:rsidRPr="001769D8" w:rsidRDefault="001769D8" w:rsidP="00593C8C">
      <w:pPr>
        <w:spacing w:after="0" w:line="360" w:lineRule="auto"/>
        <w:ind w:firstLine="720"/>
        <w:jc w:val="both"/>
        <w:rPr>
          <w:rFonts w:ascii="Sylfaen" w:hAnsi="Sylfaen"/>
          <w:b/>
          <w:bCs/>
          <w:color w:val="000000"/>
          <w:sz w:val="24"/>
          <w:szCs w:val="24"/>
          <w:lang w:val="en-GB"/>
        </w:rPr>
      </w:pPr>
    </w:p>
    <w:p w14:paraId="15D234D5" w14:textId="77777777" w:rsidR="001769D8" w:rsidRPr="001769D8" w:rsidRDefault="001769D8" w:rsidP="00593C8C">
      <w:pPr>
        <w:spacing w:after="0" w:line="360" w:lineRule="auto"/>
        <w:ind w:firstLine="720"/>
        <w:jc w:val="both"/>
        <w:rPr>
          <w:rFonts w:ascii="Sylfaen" w:hAnsi="Sylfaen"/>
          <w:b/>
          <w:bCs/>
          <w:color w:val="000000"/>
          <w:sz w:val="24"/>
          <w:szCs w:val="24"/>
          <w:lang w:val="en-GB"/>
        </w:rPr>
      </w:pPr>
    </w:p>
    <w:p w14:paraId="3C41834E" w14:textId="77777777" w:rsidR="00593C8C" w:rsidRPr="001769D8" w:rsidRDefault="00593C8C" w:rsidP="00593C8C">
      <w:pPr>
        <w:spacing w:after="0" w:line="360" w:lineRule="auto"/>
        <w:ind w:firstLine="720"/>
        <w:jc w:val="both"/>
        <w:rPr>
          <w:rFonts w:ascii="Sylfaen" w:hAnsi="Sylfaen"/>
          <w:color w:val="000000"/>
          <w:sz w:val="24"/>
          <w:szCs w:val="24"/>
          <w:lang w:val="en-GB"/>
        </w:rPr>
      </w:pPr>
      <w:r w:rsidRPr="001769D8">
        <w:rPr>
          <w:rFonts w:ascii="Sylfaen" w:hAnsi="Sylfaen"/>
          <w:b/>
          <w:bCs/>
          <w:color w:val="000000"/>
          <w:sz w:val="24"/>
          <w:szCs w:val="24"/>
          <w:lang w:val="en-GB"/>
        </w:rPr>
        <w:lastRenderedPageBreak/>
        <w:t>Bibliography</w:t>
      </w:r>
      <w:r w:rsidRPr="001769D8">
        <w:rPr>
          <w:rFonts w:ascii="Sylfaen" w:hAnsi="Sylfaen"/>
          <w:color w:val="000000"/>
          <w:sz w:val="24"/>
          <w:szCs w:val="24"/>
          <w:lang w:val="en-GB"/>
        </w:rPr>
        <w:t xml:space="preserve">: </w:t>
      </w:r>
    </w:p>
    <w:p w14:paraId="08048CE6" w14:textId="0F9387B8" w:rsidR="00B7522B" w:rsidRPr="001579C9" w:rsidRDefault="001769D8" w:rsidP="001579C9">
      <w:pPr>
        <w:pStyle w:val="ListParagraph"/>
        <w:numPr>
          <w:ilvl w:val="0"/>
          <w:numId w:val="3"/>
        </w:numPr>
        <w:spacing w:after="0" w:line="360" w:lineRule="auto"/>
        <w:jc w:val="both"/>
        <w:rPr>
          <w:rFonts w:ascii="Sylfaen" w:hAnsi="Sylfaen"/>
          <w:color w:val="000000"/>
          <w:sz w:val="24"/>
          <w:szCs w:val="24"/>
          <w:lang w:val="en-GB"/>
        </w:rPr>
      </w:pPr>
      <w:r w:rsidRPr="001579C9">
        <w:rPr>
          <w:rFonts w:ascii="Sylfaen" w:hAnsi="Sylfaen"/>
          <w:b/>
          <w:bCs/>
          <w:color w:val="000000"/>
          <w:sz w:val="24"/>
          <w:szCs w:val="24"/>
          <w:lang w:val="en-GB"/>
        </w:rPr>
        <w:t>Gobejishvili N.,</w:t>
      </w:r>
      <w:r w:rsidRPr="001579C9">
        <w:rPr>
          <w:rFonts w:ascii="Sylfaen" w:hAnsi="Sylfaen"/>
          <w:color w:val="000000"/>
          <w:sz w:val="24"/>
          <w:szCs w:val="24"/>
          <w:lang w:val="en-GB"/>
        </w:rPr>
        <w:t xml:space="preserve"> The issue of interrelationship between Colchian and Koban cultures according to burial-constructions and burial rules, 2014</w:t>
      </w:r>
      <w:r w:rsidR="001579C9" w:rsidRPr="001579C9">
        <w:rPr>
          <w:rFonts w:ascii="Sylfaen" w:hAnsi="Sylfaen"/>
          <w:color w:val="000000"/>
          <w:sz w:val="24"/>
          <w:szCs w:val="24"/>
          <w:lang w:val="en-GB"/>
        </w:rPr>
        <w:t xml:space="preserve"> </w:t>
      </w:r>
      <w:r w:rsidR="001579C9" w:rsidRPr="001579C9">
        <w:rPr>
          <w:rFonts w:ascii="Sylfaen" w:hAnsi="Sylfaen"/>
          <w:lang w:val="ka-GE"/>
        </w:rPr>
        <w:t>(</w:t>
      </w:r>
      <w:r w:rsidR="001579C9" w:rsidRPr="001579C9">
        <w:rPr>
          <w:rFonts w:ascii="Sylfaen" w:hAnsi="Sylfaen"/>
          <w:color w:val="7B7B7B" w:themeColor="accent3" w:themeShade="BF"/>
          <w:lang w:val="ka-GE"/>
        </w:rPr>
        <w:t>pdf)</w:t>
      </w:r>
    </w:p>
    <w:p w14:paraId="00EB752C" w14:textId="650709D9" w:rsidR="001769D8" w:rsidRPr="001579C9" w:rsidRDefault="001769D8" w:rsidP="001579C9">
      <w:pPr>
        <w:pStyle w:val="ListParagraph"/>
        <w:numPr>
          <w:ilvl w:val="0"/>
          <w:numId w:val="3"/>
        </w:numPr>
        <w:spacing w:after="0" w:line="360" w:lineRule="auto"/>
        <w:jc w:val="both"/>
        <w:rPr>
          <w:rFonts w:ascii="Sylfaen" w:hAnsi="Sylfaen"/>
          <w:color w:val="000000"/>
          <w:sz w:val="24"/>
          <w:szCs w:val="24"/>
          <w:lang w:val="en-GB"/>
        </w:rPr>
      </w:pPr>
      <w:r w:rsidRPr="001579C9">
        <w:rPr>
          <w:rFonts w:ascii="Sylfaen" w:hAnsi="Sylfaen"/>
          <w:b/>
          <w:bCs/>
          <w:color w:val="000000"/>
          <w:sz w:val="24"/>
          <w:szCs w:val="24"/>
          <w:lang w:val="en-GB"/>
        </w:rPr>
        <w:t>Ioseliani A.,</w:t>
      </w:r>
      <w:r w:rsidRPr="001579C9">
        <w:rPr>
          <w:rFonts w:ascii="Sylfaen" w:hAnsi="Sylfaen"/>
          <w:color w:val="000000"/>
          <w:sz w:val="24"/>
          <w:szCs w:val="24"/>
          <w:lang w:val="en-GB"/>
        </w:rPr>
        <w:t xml:space="preserve"> Essays from the History of Colchis, Tbilisi, 1973</w:t>
      </w:r>
      <w:r w:rsidR="001579C9" w:rsidRPr="001579C9">
        <w:rPr>
          <w:rFonts w:ascii="Sylfaen" w:hAnsi="Sylfaen"/>
          <w:color w:val="000000"/>
          <w:sz w:val="24"/>
          <w:szCs w:val="24"/>
          <w:lang w:val="en-GB"/>
        </w:rPr>
        <w:t xml:space="preserve"> </w:t>
      </w:r>
      <w:r w:rsidR="001579C9" w:rsidRPr="001579C9">
        <w:rPr>
          <w:rFonts w:ascii="Sylfaen" w:hAnsi="Sylfaen"/>
          <w:lang w:val="ka-GE"/>
        </w:rPr>
        <w:t>(</w:t>
      </w:r>
      <w:r w:rsidR="001579C9" w:rsidRPr="001579C9">
        <w:rPr>
          <w:rFonts w:ascii="Sylfaen" w:hAnsi="Sylfaen"/>
          <w:color w:val="7B7B7B" w:themeColor="accent3" w:themeShade="BF"/>
          <w:lang w:val="ka-GE"/>
        </w:rPr>
        <w:t>pdf)</w:t>
      </w:r>
    </w:p>
    <w:p w14:paraId="1D28FFF0" w14:textId="77777777" w:rsidR="001579C9" w:rsidRPr="001579C9" w:rsidRDefault="001769D8" w:rsidP="001579C9">
      <w:pPr>
        <w:pStyle w:val="ListParagraph"/>
        <w:numPr>
          <w:ilvl w:val="0"/>
          <w:numId w:val="3"/>
        </w:numPr>
        <w:spacing w:after="0"/>
        <w:jc w:val="both"/>
        <w:rPr>
          <w:rFonts w:ascii="Sylfaen" w:hAnsi="Sylfaen"/>
          <w:lang w:val="ka-GE"/>
        </w:rPr>
      </w:pPr>
      <w:r w:rsidRPr="001579C9">
        <w:rPr>
          <w:rFonts w:ascii="Sylfaen" w:hAnsi="Sylfaen"/>
          <w:b/>
          <w:bCs/>
          <w:color w:val="000000"/>
          <w:sz w:val="24"/>
          <w:szCs w:val="24"/>
          <w:lang w:val="en-GB"/>
        </w:rPr>
        <w:t>Mamuladze Sh</w:t>
      </w:r>
      <w:r w:rsidRPr="001579C9">
        <w:rPr>
          <w:rFonts w:ascii="Sylfaen" w:hAnsi="Sylfaen"/>
          <w:color w:val="000000"/>
          <w:sz w:val="24"/>
          <w:szCs w:val="24"/>
          <w:lang w:val="en-GB"/>
        </w:rPr>
        <w:t>. The first reconnaissance and arch</w:t>
      </w:r>
      <w:r w:rsidR="001579C9" w:rsidRPr="001579C9">
        <w:rPr>
          <w:rFonts w:ascii="Sylfaen" w:hAnsi="Sylfaen"/>
          <w:color w:val="000000"/>
          <w:sz w:val="24"/>
          <w:szCs w:val="24"/>
          <w:lang w:val="en-GB"/>
        </w:rPr>
        <w:t>a</w:t>
      </w:r>
      <w:r w:rsidRPr="001579C9">
        <w:rPr>
          <w:rFonts w:ascii="Sylfaen" w:hAnsi="Sylfaen"/>
          <w:color w:val="000000"/>
          <w:sz w:val="24"/>
          <w:szCs w:val="24"/>
          <w:lang w:val="en-GB"/>
        </w:rPr>
        <w:t>eological works in the first period of the return to the motherland of Adjara. - Sub-departmental institution of the Government of the Autonomous Republic of Adjara - Archives Division Southwest Georgia in the Context of Geopolitical Interests of the Neighbouring States Materials of the International Scientific Conference Dedicated to the 130</w:t>
      </w:r>
      <w:r w:rsidRPr="001579C9">
        <w:rPr>
          <w:rFonts w:ascii="Sylfaen" w:hAnsi="Sylfaen"/>
          <w:color w:val="000000"/>
          <w:sz w:val="24"/>
          <w:szCs w:val="24"/>
          <w:vertAlign w:val="superscript"/>
          <w:lang w:val="en-GB"/>
        </w:rPr>
        <w:t>th</w:t>
      </w:r>
      <w:r w:rsidRPr="001579C9">
        <w:rPr>
          <w:rFonts w:ascii="Sylfaen" w:hAnsi="Sylfaen"/>
          <w:color w:val="000000"/>
          <w:sz w:val="24"/>
          <w:szCs w:val="24"/>
          <w:lang w:val="en-GB"/>
        </w:rPr>
        <w:t xml:space="preserve"> Anniversary of the Return of Adjara to the Motherland, Shota Rustaveli State University Publishing House, Batumi, 2009, pp. 155-162. </w:t>
      </w:r>
    </w:p>
    <w:p w14:paraId="121547E3" w14:textId="48B6856A" w:rsidR="001579C9" w:rsidRPr="001579C9" w:rsidRDefault="001579C9" w:rsidP="001579C9">
      <w:pPr>
        <w:pStyle w:val="ListParagraph"/>
        <w:spacing w:after="0"/>
        <w:jc w:val="both"/>
        <w:rPr>
          <w:rFonts w:ascii="Sylfaen" w:hAnsi="Sylfaen"/>
          <w:lang w:val="ka-GE"/>
        </w:rPr>
      </w:pPr>
      <w:hyperlink r:id="rId5" w:history="1">
        <w:r w:rsidRPr="001579C9">
          <w:rPr>
            <w:rStyle w:val="Hyperlink"/>
            <w:rFonts w:ascii="Sylfaen" w:hAnsi="Sylfaen"/>
            <w:lang w:val="ka-GE"/>
          </w:rPr>
          <w:t>http://www.archives-ajara.gov.ge/text_files/en_file_170_1.pdf</w:t>
        </w:r>
      </w:hyperlink>
    </w:p>
    <w:p w14:paraId="055146F8" w14:textId="77777777" w:rsidR="003B0654" w:rsidRDefault="001769D8" w:rsidP="00B35F6A">
      <w:pPr>
        <w:pStyle w:val="ListParagraph"/>
        <w:numPr>
          <w:ilvl w:val="0"/>
          <w:numId w:val="3"/>
        </w:numPr>
        <w:spacing w:after="0" w:line="360" w:lineRule="auto"/>
        <w:jc w:val="both"/>
        <w:rPr>
          <w:rFonts w:ascii="Sylfaen" w:hAnsi="Sylfaen"/>
          <w:color w:val="000000"/>
          <w:sz w:val="24"/>
          <w:szCs w:val="24"/>
          <w:lang w:val="en-GB"/>
        </w:rPr>
      </w:pPr>
      <w:r w:rsidRPr="003B0654">
        <w:rPr>
          <w:rFonts w:ascii="Sylfaen" w:hAnsi="Sylfaen"/>
          <w:b/>
          <w:bCs/>
          <w:color w:val="000000"/>
          <w:sz w:val="24"/>
          <w:szCs w:val="24"/>
          <w:lang w:val="en-GB"/>
        </w:rPr>
        <w:t>Ramishvili A</w:t>
      </w:r>
      <w:r w:rsidRPr="003B0654">
        <w:rPr>
          <w:rFonts w:ascii="Sylfaen" w:hAnsi="Sylfaen"/>
          <w:color w:val="000000"/>
          <w:sz w:val="24"/>
          <w:szCs w:val="24"/>
          <w:lang w:val="en-GB"/>
        </w:rPr>
        <w:t xml:space="preserve">., </w:t>
      </w:r>
      <w:r w:rsidR="001579C9" w:rsidRPr="003B0654">
        <w:rPr>
          <w:rFonts w:ascii="Sylfaen" w:hAnsi="Sylfaen"/>
          <w:color w:val="000000"/>
          <w:sz w:val="24"/>
          <w:szCs w:val="24"/>
          <w:lang w:val="en-GB"/>
        </w:rPr>
        <w:t>F</w:t>
      </w:r>
      <w:r w:rsidRPr="003B0654">
        <w:rPr>
          <w:rFonts w:ascii="Sylfaen" w:hAnsi="Sylfaen"/>
          <w:color w:val="000000"/>
          <w:sz w:val="24"/>
          <w:szCs w:val="24"/>
          <w:lang w:val="en-GB"/>
        </w:rPr>
        <w:t xml:space="preserve">rom the </w:t>
      </w:r>
      <w:r w:rsidR="001579C9" w:rsidRPr="003B0654">
        <w:rPr>
          <w:rFonts w:ascii="Sylfaen" w:hAnsi="Sylfaen"/>
          <w:color w:val="000000"/>
          <w:sz w:val="24"/>
          <w:szCs w:val="24"/>
          <w:lang w:val="en-GB"/>
        </w:rPr>
        <w:t>H</w:t>
      </w:r>
      <w:r w:rsidRPr="003B0654">
        <w:rPr>
          <w:rFonts w:ascii="Sylfaen" w:hAnsi="Sylfaen"/>
          <w:color w:val="000000"/>
          <w:sz w:val="24"/>
          <w:szCs w:val="24"/>
          <w:lang w:val="en-GB"/>
        </w:rPr>
        <w:t xml:space="preserve">istory of the </w:t>
      </w:r>
      <w:r w:rsidR="001579C9" w:rsidRPr="003B0654">
        <w:rPr>
          <w:rFonts w:ascii="Sylfaen" w:hAnsi="Sylfaen"/>
          <w:color w:val="000000"/>
          <w:sz w:val="24"/>
          <w:szCs w:val="24"/>
          <w:lang w:val="en-GB"/>
        </w:rPr>
        <w:t>M</w:t>
      </w:r>
      <w:r w:rsidRPr="003B0654">
        <w:rPr>
          <w:rFonts w:ascii="Sylfaen" w:hAnsi="Sylfaen"/>
          <w:color w:val="000000"/>
          <w:sz w:val="24"/>
          <w:szCs w:val="24"/>
          <w:lang w:val="en-GB"/>
        </w:rPr>
        <w:t xml:space="preserve">aterial </w:t>
      </w:r>
      <w:r w:rsidR="001579C9" w:rsidRPr="003B0654">
        <w:rPr>
          <w:rFonts w:ascii="Sylfaen" w:hAnsi="Sylfaen"/>
          <w:color w:val="000000"/>
          <w:sz w:val="24"/>
          <w:szCs w:val="24"/>
          <w:lang w:val="en-GB"/>
        </w:rPr>
        <w:t>C</w:t>
      </w:r>
      <w:r w:rsidRPr="003B0654">
        <w:rPr>
          <w:rFonts w:ascii="Sylfaen" w:hAnsi="Sylfaen"/>
          <w:color w:val="000000"/>
          <w:sz w:val="24"/>
          <w:szCs w:val="24"/>
          <w:lang w:val="en-GB"/>
        </w:rPr>
        <w:t xml:space="preserve">ulture of Kolkheti, </w:t>
      </w:r>
      <w:r w:rsidR="001579C9" w:rsidRPr="003B0654">
        <w:rPr>
          <w:rFonts w:ascii="Sylfaen" w:hAnsi="Sylfaen"/>
          <w:color w:val="000000"/>
          <w:sz w:val="24"/>
          <w:szCs w:val="24"/>
          <w:lang w:val="en-GB"/>
        </w:rPr>
        <w:t>Tbilisi</w:t>
      </w:r>
      <w:r w:rsidRPr="003B0654">
        <w:rPr>
          <w:rFonts w:ascii="Sylfaen" w:hAnsi="Sylfaen"/>
          <w:color w:val="000000"/>
          <w:sz w:val="24"/>
          <w:szCs w:val="24"/>
          <w:lang w:val="en-GB"/>
        </w:rPr>
        <w:t>, 1974</w:t>
      </w:r>
    </w:p>
    <w:p w14:paraId="005A8AA8" w14:textId="0BA64928" w:rsidR="001769D8" w:rsidRPr="003B0654" w:rsidRDefault="001769D8" w:rsidP="00B35F6A">
      <w:pPr>
        <w:pStyle w:val="ListParagraph"/>
        <w:numPr>
          <w:ilvl w:val="0"/>
          <w:numId w:val="3"/>
        </w:numPr>
        <w:spacing w:after="0" w:line="360" w:lineRule="auto"/>
        <w:jc w:val="both"/>
        <w:rPr>
          <w:rFonts w:ascii="Sylfaen" w:hAnsi="Sylfaen"/>
          <w:color w:val="000000"/>
          <w:sz w:val="24"/>
          <w:szCs w:val="24"/>
          <w:lang w:val="en-GB"/>
        </w:rPr>
      </w:pPr>
      <w:r w:rsidRPr="003B0654">
        <w:rPr>
          <w:rFonts w:ascii="Sylfaen" w:hAnsi="Sylfaen"/>
          <w:b/>
          <w:bCs/>
          <w:color w:val="000000"/>
          <w:sz w:val="24"/>
          <w:szCs w:val="24"/>
          <w:lang w:val="en-GB"/>
        </w:rPr>
        <w:t>Surmanidze N., Dzneladze N., Turmanidze M</w:t>
      </w:r>
      <w:r w:rsidRPr="003B0654">
        <w:rPr>
          <w:rFonts w:ascii="Sylfaen" w:hAnsi="Sylfaen"/>
          <w:color w:val="000000"/>
          <w:sz w:val="24"/>
          <w:szCs w:val="24"/>
          <w:lang w:val="en-GB"/>
        </w:rPr>
        <w:t xml:space="preserve">., Iron Age Cemeteries from South-West Georgia. - Museum and Globalization, III, Batumi, 2023. DOI: </w:t>
      </w:r>
      <w:hyperlink r:id="rId6" w:history="1">
        <w:r w:rsidRPr="003B0654">
          <w:rPr>
            <w:rStyle w:val="Hyperlink"/>
            <w:rFonts w:ascii="Sylfaen" w:hAnsi="Sylfaen"/>
            <w:sz w:val="24"/>
            <w:szCs w:val="24"/>
            <w:lang w:val="en-GB"/>
          </w:rPr>
          <w:t>https://doi.org/10.52340/gmg2023.01.014</w:t>
        </w:r>
      </w:hyperlink>
    </w:p>
    <w:p w14:paraId="2C860CC6" w14:textId="77777777" w:rsidR="001769D8" w:rsidRPr="001769D8" w:rsidRDefault="001769D8" w:rsidP="001769D8">
      <w:pPr>
        <w:spacing w:after="0" w:line="360" w:lineRule="auto"/>
        <w:ind w:firstLine="720"/>
        <w:jc w:val="both"/>
        <w:rPr>
          <w:rFonts w:ascii="Sylfaen" w:hAnsi="Sylfaen"/>
          <w:color w:val="000000"/>
          <w:sz w:val="24"/>
          <w:szCs w:val="24"/>
          <w:lang w:val="en-GB"/>
        </w:rPr>
      </w:pPr>
    </w:p>
    <w:p w14:paraId="2DA4D52F" w14:textId="77777777" w:rsidR="00063434" w:rsidRPr="001769D8" w:rsidRDefault="00063434" w:rsidP="008805F5">
      <w:pPr>
        <w:spacing w:after="0" w:line="360" w:lineRule="auto"/>
        <w:ind w:firstLine="720"/>
        <w:jc w:val="both"/>
        <w:rPr>
          <w:lang w:val="en-GB"/>
        </w:rPr>
      </w:pPr>
    </w:p>
    <w:sectPr w:rsidR="00063434" w:rsidRPr="001769D8"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B43B6E"/>
    <w:multiLevelType w:val="singleLevel"/>
    <w:tmpl w:val="6140633C"/>
    <w:lvl w:ilvl="0">
      <w:start w:val="1"/>
      <w:numFmt w:val="decimal"/>
      <w:lvlText w:val="%1."/>
      <w:lvlJc w:val="left"/>
      <w:pPr>
        <w:tabs>
          <w:tab w:val="left" w:pos="425"/>
        </w:tabs>
        <w:ind w:left="425" w:hanging="425"/>
      </w:pPr>
      <w:rPr>
        <w:rFonts w:ascii="Sylfaen" w:eastAsiaTheme="minorEastAsia" w:hAnsi="Sylfaen" w:cstheme="minorBidi"/>
      </w:rPr>
    </w:lvl>
  </w:abstractNum>
  <w:abstractNum w:abstractNumId="1" w15:restartNumberingAfterBreak="0">
    <w:nsid w:val="07544F1D"/>
    <w:multiLevelType w:val="hybridMultilevel"/>
    <w:tmpl w:val="64C65CDC"/>
    <w:lvl w:ilvl="0" w:tplc="5CFC9E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432250"/>
    <w:multiLevelType w:val="hybridMultilevel"/>
    <w:tmpl w:val="F5DA46B8"/>
    <w:lvl w:ilvl="0" w:tplc="F09C27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825627615">
    <w:abstractNumId w:val="2"/>
  </w:num>
  <w:num w:numId="2" w16cid:durableId="221526016">
    <w:abstractNumId w:val="0"/>
  </w:num>
  <w:num w:numId="3" w16cid:durableId="613826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0B1204"/>
    <w:rsid w:val="00147B24"/>
    <w:rsid w:val="001579C9"/>
    <w:rsid w:val="001769D8"/>
    <w:rsid w:val="002C45FB"/>
    <w:rsid w:val="003B0654"/>
    <w:rsid w:val="003D46B0"/>
    <w:rsid w:val="00485E96"/>
    <w:rsid w:val="00593C8C"/>
    <w:rsid w:val="006F65D6"/>
    <w:rsid w:val="00864685"/>
    <w:rsid w:val="0087305E"/>
    <w:rsid w:val="008805F5"/>
    <w:rsid w:val="00907502"/>
    <w:rsid w:val="0095229B"/>
    <w:rsid w:val="009D2FA5"/>
    <w:rsid w:val="00A91BD9"/>
    <w:rsid w:val="00B2321C"/>
    <w:rsid w:val="00B7522B"/>
    <w:rsid w:val="00B90953"/>
    <w:rsid w:val="00C27930"/>
    <w:rsid w:val="00C61E1D"/>
    <w:rsid w:val="00E91175"/>
    <w:rsid w:val="00EF5DA4"/>
    <w:rsid w:val="00EF7062"/>
    <w:rsid w:val="00F54D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B478"/>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qFormat/>
    <w:rsid w:val="001769D8"/>
    <w:rPr>
      <w:color w:val="0563C1" w:themeColor="hyperlink"/>
      <w:u w:val="single"/>
    </w:rPr>
  </w:style>
  <w:style w:type="character" w:styleId="UnresolvedMention">
    <w:name w:val="Unresolved Mention"/>
    <w:basedOn w:val="DefaultParagraphFont"/>
    <w:uiPriority w:val="99"/>
    <w:semiHidden/>
    <w:unhideWhenUsed/>
    <w:rsid w:val="001769D8"/>
    <w:rPr>
      <w:color w:val="605E5C"/>
      <w:shd w:val="clear" w:color="auto" w:fill="E1DFDD"/>
    </w:rPr>
  </w:style>
  <w:style w:type="paragraph" w:styleId="ListParagraph">
    <w:name w:val="List Paragraph"/>
    <w:basedOn w:val="Normal"/>
    <w:uiPriority w:val="34"/>
    <w:qFormat/>
    <w:rsid w:val="00B75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95193136">
      <w:bodyDiv w:val="1"/>
      <w:marLeft w:val="0"/>
      <w:marRight w:val="0"/>
      <w:marTop w:val="0"/>
      <w:marBottom w:val="0"/>
      <w:divBdr>
        <w:top w:val="none" w:sz="0" w:space="0" w:color="auto"/>
        <w:left w:val="none" w:sz="0" w:space="0" w:color="auto"/>
        <w:bottom w:val="none" w:sz="0" w:space="0" w:color="auto"/>
        <w:right w:val="none" w:sz="0" w:space="0" w:color="auto"/>
      </w:divBdr>
    </w:div>
    <w:div w:id="427163980">
      <w:bodyDiv w:val="1"/>
      <w:marLeft w:val="0"/>
      <w:marRight w:val="0"/>
      <w:marTop w:val="0"/>
      <w:marBottom w:val="0"/>
      <w:divBdr>
        <w:top w:val="none" w:sz="0" w:space="0" w:color="auto"/>
        <w:left w:val="none" w:sz="0" w:space="0" w:color="auto"/>
        <w:bottom w:val="none" w:sz="0" w:space="0" w:color="auto"/>
        <w:right w:val="none" w:sz="0" w:space="0" w:color="auto"/>
      </w:divBdr>
    </w:div>
    <w:div w:id="534268343">
      <w:bodyDiv w:val="1"/>
      <w:marLeft w:val="0"/>
      <w:marRight w:val="0"/>
      <w:marTop w:val="0"/>
      <w:marBottom w:val="0"/>
      <w:divBdr>
        <w:top w:val="none" w:sz="0" w:space="0" w:color="auto"/>
        <w:left w:val="none" w:sz="0" w:space="0" w:color="auto"/>
        <w:bottom w:val="none" w:sz="0" w:space="0" w:color="auto"/>
        <w:right w:val="none" w:sz="0" w:space="0" w:color="auto"/>
      </w:divBdr>
    </w:div>
    <w:div w:id="610473507">
      <w:bodyDiv w:val="1"/>
      <w:marLeft w:val="0"/>
      <w:marRight w:val="0"/>
      <w:marTop w:val="0"/>
      <w:marBottom w:val="0"/>
      <w:divBdr>
        <w:top w:val="none" w:sz="0" w:space="0" w:color="auto"/>
        <w:left w:val="none" w:sz="0" w:space="0" w:color="auto"/>
        <w:bottom w:val="none" w:sz="0" w:space="0" w:color="auto"/>
        <w:right w:val="none" w:sz="0" w:space="0" w:color="auto"/>
      </w:divBdr>
    </w:div>
    <w:div w:id="654527518">
      <w:bodyDiv w:val="1"/>
      <w:marLeft w:val="0"/>
      <w:marRight w:val="0"/>
      <w:marTop w:val="0"/>
      <w:marBottom w:val="0"/>
      <w:divBdr>
        <w:top w:val="none" w:sz="0" w:space="0" w:color="auto"/>
        <w:left w:val="none" w:sz="0" w:space="0" w:color="auto"/>
        <w:bottom w:val="none" w:sz="0" w:space="0" w:color="auto"/>
        <w:right w:val="none" w:sz="0" w:space="0" w:color="auto"/>
      </w:divBdr>
    </w:div>
    <w:div w:id="825365106">
      <w:bodyDiv w:val="1"/>
      <w:marLeft w:val="0"/>
      <w:marRight w:val="0"/>
      <w:marTop w:val="0"/>
      <w:marBottom w:val="0"/>
      <w:divBdr>
        <w:top w:val="none" w:sz="0" w:space="0" w:color="auto"/>
        <w:left w:val="none" w:sz="0" w:space="0" w:color="auto"/>
        <w:bottom w:val="none" w:sz="0" w:space="0" w:color="auto"/>
        <w:right w:val="none" w:sz="0" w:space="0" w:color="auto"/>
      </w:divBdr>
      <w:divsChild>
        <w:div w:id="9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466920">
      <w:bodyDiv w:val="1"/>
      <w:marLeft w:val="0"/>
      <w:marRight w:val="0"/>
      <w:marTop w:val="0"/>
      <w:marBottom w:val="0"/>
      <w:divBdr>
        <w:top w:val="none" w:sz="0" w:space="0" w:color="auto"/>
        <w:left w:val="none" w:sz="0" w:space="0" w:color="auto"/>
        <w:bottom w:val="none" w:sz="0" w:space="0" w:color="auto"/>
        <w:right w:val="none" w:sz="0" w:space="0" w:color="auto"/>
      </w:divBdr>
    </w:div>
    <w:div w:id="1006589283">
      <w:bodyDiv w:val="1"/>
      <w:marLeft w:val="0"/>
      <w:marRight w:val="0"/>
      <w:marTop w:val="0"/>
      <w:marBottom w:val="0"/>
      <w:divBdr>
        <w:top w:val="none" w:sz="0" w:space="0" w:color="auto"/>
        <w:left w:val="none" w:sz="0" w:space="0" w:color="auto"/>
        <w:bottom w:val="none" w:sz="0" w:space="0" w:color="auto"/>
        <w:right w:val="none" w:sz="0" w:space="0" w:color="auto"/>
      </w:divBdr>
    </w:div>
    <w:div w:id="1137265201">
      <w:bodyDiv w:val="1"/>
      <w:marLeft w:val="0"/>
      <w:marRight w:val="0"/>
      <w:marTop w:val="0"/>
      <w:marBottom w:val="0"/>
      <w:divBdr>
        <w:top w:val="none" w:sz="0" w:space="0" w:color="auto"/>
        <w:left w:val="none" w:sz="0" w:space="0" w:color="auto"/>
        <w:bottom w:val="none" w:sz="0" w:space="0" w:color="auto"/>
        <w:right w:val="none" w:sz="0" w:space="0" w:color="auto"/>
      </w:divBdr>
      <w:divsChild>
        <w:div w:id="10670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338924179">
      <w:bodyDiv w:val="1"/>
      <w:marLeft w:val="0"/>
      <w:marRight w:val="0"/>
      <w:marTop w:val="0"/>
      <w:marBottom w:val="0"/>
      <w:divBdr>
        <w:top w:val="none" w:sz="0" w:space="0" w:color="auto"/>
        <w:left w:val="none" w:sz="0" w:space="0" w:color="auto"/>
        <w:bottom w:val="none" w:sz="0" w:space="0" w:color="auto"/>
        <w:right w:val="none" w:sz="0" w:space="0" w:color="auto"/>
      </w:divBdr>
    </w:div>
    <w:div w:id="1349481389">
      <w:bodyDiv w:val="1"/>
      <w:marLeft w:val="0"/>
      <w:marRight w:val="0"/>
      <w:marTop w:val="0"/>
      <w:marBottom w:val="0"/>
      <w:divBdr>
        <w:top w:val="none" w:sz="0" w:space="0" w:color="auto"/>
        <w:left w:val="none" w:sz="0" w:space="0" w:color="auto"/>
        <w:bottom w:val="none" w:sz="0" w:space="0" w:color="auto"/>
        <w:right w:val="none" w:sz="0" w:space="0" w:color="auto"/>
      </w:divBdr>
    </w:div>
    <w:div w:id="1384791208">
      <w:bodyDiv w:val="1"/>
      <w:marLeft w:val="0"/>
      <w:marRight w:val="0"/>
      <w:marTop w:val="0"/>
      <w:marBottom w:val="0"/>
      <w:divBdr>
        <w:top w:val="none" w:sz="0" w:space="0" w:color="auto"/>
        <w:left w:val="none" w:sz="0" w:space="0" w:color="auto"/>
        <w:bottom w:val="none" w:sz="0" w:space="0" w:color="auto"/>
        <w:right w:val="none" w:sz="0" w:space="0" w:color="auto"/>
      </w:divBdr>
      <w:divsChild>
        <w:div w:id="1170367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9715092">
      <w:bodyDiv w:val="1"/>
      <w:marLeft w:val="0"/>
      <w:marRight w:val="0"/>
      <w:marTop w:val="0"/>
      <w:marBottom w:val="0"/>
      <w:divBdr>
        <w:top w:val="none" w:sz="0" w:space="0" w:color="auto"/>
        <w:left w:val="none" w:sz="0" w:space="0" w:color="auto"/>
        <w:bottom w:val="none" w:sz="0" w:space="0" w:color="auto"/>
        <w:right w:val="none" w:sz="0" w:space="0" w:color="auto"/>
      </w:divBdr>
    </w:div>
    <w:div w:id="1614241312">
      <w:bodyDiv w:val="1"/>
      <w:marLeft w:val="0"/>
      <w:marRight w:val="0"/>
      <w:marTop w:val="0"/>
      <w:marBottom w:val="0"/>
      <w:divBdr>
        <w:top w:val="none" w:sz="0" w:space="0" w:color="auto"/>
        <w:left w:val="none" w:sz="0" w:space="0" w:color="auto"/>
        <w:bottom w:val="none" w:sz="0" w:space="0" w:color="auto"/>
        <w:right w:val="none" w:sz="0" w:space="0" w:color="auto"/>
      </w:divBdr>
    </w:div>
    <w:div w:id="1634602105">
      <w:bodyDiv w:val="1"/>
      <w:marLeft w:val="0"/>
      <w:marRight w:val="0"/>
      <w:marTop w:val="0"/>
      <w:marBottom w:val="0"/>
      <w:divBdr>
        <w:top w:val="none" w:sz="0" w:space="0" w:color="auto"/>
        <w:left w:val="none" w:sz="0" w:space="0" w:color="auto"/>
        <w:bottom w:val="none" w:sz="0" w:space="0" w:color="auto"/>
        <w:right w:val="none" w:sz="0" w:space="0" w:color="auto"/>
      </w:divBdr>
    </w:div>
    <w:div w:id="1655141461">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3766249">
      <w:bodyDiv w:val="1"/>
      <w:marLeft w:val="0"/>
      <w:marRight w:val="0"/>
      <w:marTop w:val="0"/>
      <w:marBottom w:val="0"/>
      <w:divBdr>
        <w:top w:val="none" w:sz="0" w:space="0" w:color="auto"/>
        <w:left w:val="none" w:sz="0" w:space="0" w:color="auto"/>
        <w:bottom w:val="none" w:sz="0" w:space="0" w:color="auto"/>
        <w:right w:val="none" w:sz="0" w:space="0" w:color="auto"/>
      </w:divBdr>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2340/gmg2023.01.014" TargetMode="External"/><Relationship Id="rId5" Type="http://schemas.openxmlformats.org/officeDocument/2006/relationships/hyperlink" Target="http://www.archives-ajara.gov.ge/text_files/en_file_170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11</cp:revision>
  <dcterms:created xsi:type="dcterms:W3CDTF">2026-06-23T19:03:00Z</dcterms:created>
  <dcterms:modified xsi:type="dcterms:W3CDTF">2026-08-21T10:31:00Z</dcterms:modified>
</cp:coreProperties>
</file>