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F31CC" w14:textId="77777777" w:rsidR="00864685" w:rsidRPr="009470AA" w:rsidRDefault="00864685" w:rsidP="009470AA">
      <w:pPr>
        <w:spacing w:after="0" w:line="360" w:lineRule="auto"/>
        <w:jc w:val="center"/>
        <w:rPr>
          <w:rFonts w:ascii="Sylfaen" w:hAnsi="Sylfaen"/>
          <w:b/>
          <w:bCs/>
          <w:sz w:val="24"/>
          <w:szCs w:val="24"/>
          <w:lang w:val="en-GB"/>
        </w:rPr>
      </w:pPr>
      <w:r w:rsidRPr="009470AA">
        <w:rPr>
          <w:rFonts w:ascii="Sylfaen" w:hAnsi="Sylfaen"/>
          <w:b/>
          <w:bCs/>
          <w:sz w:val="24"/>
          <w:szCs w:val="24"/>
          <w:lang w:val="en-GB"/>
        </w:rPr>
        <w:t>Passport of Archaeological Monument</w:t>
      </w:r>
    </w:p>
    <w:p w14:paraId="2C5629D0" w14:textId="77777777" w:rsidR="00864685" w:rsidRPr="009470AA" w:rsidRDefault="00864685" w:rsidP="009470AA">
      <w:pPr>
        <w:spacing w:after="0" w:line="360" w:lineRule="auto"/>
        <w:jc w:val="center"/>
        <w:rPr>
          <w:rFonts w:ascii="Sylfaen" w:hAnsi="Sylfaen"/>
          <w:b/>
          <w:bCs/>
          <w:sz w:val="24"/>
          <w:szCs w:val="24"/>
          <w:lang w:val="en-GB"/>
        </w:rPr>
      </w:pPr>
    </w:p>
    <w:p w14:paraId="008EEE14" w14:textId="77777777" w:rsidR="00864685" w:rsidRPr="009470AA" w:rsidRDefault="00864685" w:rsidP="009470AA">
      <w:pPr>
        <w:tabs>
          <w:tab w:val="left" w:pos="360"/>
        </w:tabs>
        <w:spacing w:after="0" w:line="360" w:lineRule="auto"/>
        <w:ind w:firstLine="720"/>
        <w:jc w:val="both"/>
        <w:rPr>
          <w:rFonts w:ascii="Sylfaen" w:hAnsi="Sylfaen"/>
          <w:sz w:val="24"/>
          <w:szCs w:val="24"/>
          <w:lang w:val="en-GB"/>
        </w:rPr>
      </w:pPr>
      <w:r w:rsidRPr="009470AA">
        <w:rPr>
          <w:rFonts w:ascii="Sylfaen" w:hAnsi="Sylfaen"/>
          <w:b/>
          <w:bCs/>
          <w:sz w:val="24"/>
          <w:szCs w:val="24"/>
          <w:lang w:val="en-GB"/>
        </w:rPr>
        <w:t>Name of archaeological site</w:t>
      </w:r>
      <w:r w:rsidRPr="009470AA">
        <w:rPr>
          <w:rFonts w:ascii="Sylfaen" w:hAnsi="Sylfaen"/>
          <w:sz w:val="24"/>
          <w:szCs w:val="24"/>
          <w:lang w:val="en-GB"/>
        </w:rPr>
        <w:t>:</w:t>
      </w:r>
      <w:r w:rsidRPr="009470AA">
        <w:rPr>
          <w:rFonts w:ascii="Sylfaen" w:hAnsi="Sylfaen"/>
          <w:lang w:val="en-GB"/>
        </w:rPr>
        <w:t xml:space="preserve"> </w:t>
      </w:r>
      <w:r w:rsidR="00F81244" w:rsidRPr="00F81244">
        <w:rPr>
          <w:rFonts w:ascii="Sylfaen" w:hAnsi="Sylfaen"/>
          <w:sz w:val="24"/>
          <w:szCs w:val="24"/>
          <w:lang w:val="en-GB"/>
        </w:rPr>
        <w:t>Village of Kobuleti, Mesolithic settlement</w:t>
      </w:r>
    </w:p>
    <w:p w14:paraId="1816CF26" w14:textId="77777777" w:rsidR="008A2904" w:rsidRDefault="008A2904" w:rsidP="009470AA">
      <w:pPr>
        <w:tabs>
          <w:tab w:val="left" w:pos="360"/>
        </w:tabs>
        <w:spacing w:after="0" w:line="360" w:lineRule="auto"/>
        <w:ind w:firstLine="720"/>
        <w:jc w:val="both"/>
        <w:rPr>
          <w:rFonts w:ascii="Sylfaen" w:hAnsi="Sylfaen"/>
          <w:b/>
          <w:bCs/>
          <w:sz w:val="24"/>
          <w:szCs w:val="24"/>
          <w:lang w:val="en-GB"/>
        </w:rPr>
      </w:pPr>
    </w:p>
    <w:p w14:paraId="06501CC2" w14:textId="35F1CB73" w:rsidR="0025679C" w:rsidRPr="009470AA" w:rsidRDefault="00864685" w:rsidP="009470AA">
      <w:pPr>
        <w:tabs>
          <w:tab w:val="left" w:pos="360"/>
        </w:tabs>
        <w:spacing w:after="0" w:line="360" w:lineRule="auto"/>
        <w:ind w:firstLine="720"/>
        <w:jc w:val="both"/>
        <w:rPr>
          <w:rFonts w:ascii="Sylfaen" w:hAnsi="Sylfaen"/>
          <w:color w:val="000000"/>
          <w:sz w:val="24"/>
          <w:szCs w:val="24"/>
          <w:lang w:val="en-GB"/>
        </w:rPr>
      </w:pPr>
      <w:r w:rsidRPr="009470AA">
        <w:rPr>
          <w:rFonts w:ascii="Sylfaen" w:hAnsi="Sylfaen"/>
          <w:b/>
          <w:bCs/>
          <w:sz w:val="24"/>
          <w:szCs w:val="24"/>
          <w:lang w:val="en-GB"/>
        </w:rPr>
        <w:t>Type of archaeological site:</w:t>
      </w:r>
      <w:r w:rsidRPr="009470AA">
        <w:rPr>
          <w:rFonts w:ascii="Sylfaen" w:hAnsi="Sylfaen"/>
          <w:sz w:val="24"/>
          <w:szCs w:val="24"/>
          <w:lang w:val="en-GB"/>
        </w:rPr>
        <w:t xml:space="preserve"> </w:t>
      </w:r>
      <w:r w:rsidR="00C04723">
        <w:rPr>
          <w:rFonts w:ascii="Sylfaen" w:hAnsi="Sylfaen"/>
          <w:color w:val="000000"/>
          <w:sz w:val="24"/>
          <w:szCs w:val="24"/>
          <w:lang w:val="en-GB"/>
        </w:rPr>
        <w:t>Settlement</w:t>
      </w:r>
    </w:p>
    <w:p w14:paraId="6087F0E9" w14:textId="77777777" w:rsidR="008A2904" w:rsidRDefault="008A2904" w:rsidP="009470AA">
      <w:pPr>
        <w:tabs>
          <w:tab w:val="left" w:pos="360"/>
        </w:tabs>
        <w:spacing w:after="0" w:line="360" w:lineRule="auto"/>
        <w:ind w:firstLine="720"/>
        <w:jc w:val="both"/>
        <w:rPr>
          <w:rFonts w:ascii="Sylfaen" w:hAnsi="Sylfaen"/>
          <w:b/>
          <w:bCs/>
          <w:sz w:val="24"/>
          <w:szCs w:val="24"/>
          <w:lang w:val="en-GB"/>
        </w:rPr>
      </w:pPr>
    </w:p>
    <w:p w14:paraId="4A6BE763" w14:textId="3E15AC83" w:rsidR="00864685" w:rsidRPr="009470AA" w:rsidRDefault="00864685" w:rsidP="009470AA">
      <w:pPr>
        <w:tabs>
          <w:tab w:val="left" w:pos="360"/>
        </w:tabs>
        <w:spacing w:after="0" w:line="360" w:lineRule="auto"/>
        <w:ind w:firstLine="720"/>
        <w:jc w:val="both"/>
        <w:rPr>
          <w:rFonts w:ascii="Sylfaen" w:hAnsi="Sylfaen"/>
          <w:sz w:val="24"/>
          <w:szCs w:val="24"/>
          <w:lang w:val="en-GB"/>
        </w:rPr>
      </w:pPr>
      <w:r w:rsidRPr="009470AA">
        <w:rPr>
          <w:rFonts w:ascii="Sylfaen" w:hAnsi="Sylfaen"/>
          <w:b/>
          <w:bCs/>
          <w:sz w:val="24"/>
          <w:szCs w:val="24"/>
          <w:lang w:val="en-GB"/>
        </w:rPr>
        <w:t>Chronological attribution (historical era, exact date)</w:t>
      </w:r>
      <w:r w:rsidRPr="009470AA">
        <w:rPr>
          <w:rFonts w:ascii="Sylfaen" w:hAnsi="Sylfaen"/>
          <w:sz w:val="24"/>
          <w:szCs w:val="24"/>
          <w:lang w:val="en-GB"/>
        </w:rPr>
        <w:t xml:space="preserve"> </w:t>
      </w:r>
      <w:r w:rsidR="0025679C" w:rsidRPr="009470AA">
        <w:rPr>
          <w:rFonts w:ascii="Sylfaen" w:hAnsi="Sylfaen"/>
          <w:b/>
          <w:bCs/>
          <w:lang w:val="en-GB"/>
        </w:rPr>
        <w:t>-</w:t>
      </w:r>
      <w:r w:rsidR="0025679C" w:rsidRPr="009470AA">
        <w:rPr>
          <w:rFonts w:ascii="Sylfaen" w:hAnsi="Sylfaen"/>
          <w:b/>
          <w:bCs/>
          <w:color w:val="000000"/>
          <w:lang w:val="en-GB"/>
        </w:rPr>
        <w:t xml:space="preserve"> </w:t>
      </w:r>
      <w:r w:rsidR="00F81244" w:rsidRPr="00F81244">
        <w:rPr>
          <w:rStyle w:val="Strong"/>
          <w:rFonts w:ascii="Sylfaen" w:hAnsi="Sylfaen"/>
          <w:b w:val="0"/>
          <w:bCs w:val="0"/>
          <w:color w:val="000000"/>
          <w:sz w:val="24"/>
          <w:szCs w:val="24"/>
          <w:lang w:val="en-GB"/>
        </w:rPr>
        <w:t>Mesolithic, 10</w:t>
      </w:r>
      <w:r w:rsidR="00F81244" w:rsidRPr="00F81244">
        <w:rPr>
          <w:rStyle w:val="Strong"/>
          <w:rFonts w:ascii="Sylfaen" w:hAnsi="Sylfaen"/>
          <w:b w:val="0"/>
          <w:bCs w:val="0"/>
          <w:color w:val="000000"/>
          <w:sz w:val="24"/>
          <w:szCs w:val="24"/>
          <w:vertAlign w:val="superscript"/>
          <w:lang w:val="en-GB"/>
        </w:rPr>
        <w:t>th</w:t>
      </w:r>
      <w:r w:rsidR="00F81244">
        <w:rPr>
          <w:rStyle w:val="Strong"/>
          <w:rFonts w:ascii="Sylfaen" w:hAnsi="Sylfaen"/>
          <w:b w:val="0"/>
          <w:bCs w:val="0"/>
          <w:color w:val="000000"/>
          <w:sz w:val="24"/>
          <w:szCs w:val="24"/>
          <w:lang w:val="en-GB"/>
        </w:rPr>
        <w:t xml:space="preserve"> - </w:t>
      </w:r>
      <w:r w:rsidR="00F81244" w:rsidRPr="00F81244">
        <w:rPr>
          <w:rStyle w:val="Strong"/>
          <w:rFonts w:ascii="Sylfaen" w:hAnsi="Sylfaen"/>
          <w:b w:val="0"/>
          <w:bCs w:val="0"/>
          <w:color w:val="000000"/>
          <w:sz w:val="24"/>
          <w:szCs w:val="24"/>
          <w:lang w:val="en-GB"/>
        </w:rPr>
        <w:t>9</w:t>
      </w:r>
      <w:r w:rsidR="00F81244" w:rsidRPr="00F81244">
        <w:rPr>
          <w:rStyle w:val="Strong"/>
          <w:rFonts w:ascii="Sylfaen" w:hAnsi="Sylfaen"/>
          <w:b w:val="0"/>
          <w:bCs w:val="0"/>
          <w:color w:val="000000"/>
          <w:sz w:val="24"/>
          <w:szCs w:val="24"/>
          <w:vertAlign w:val="superscript"/>
          <w:lang w:val="en-GB"/>
        </w:rPr>
        <w:t>th</w:t>
      </w:r>
      <w:r w:rsidR="00F81244">
        <w:rPr>
          <w:rStyle w:val="Strong"/>
          <w:rFonts w:ascii="Sylfaen" w:hAnsi="Sylfaen"/>
          <w:b w:val="0"/>
          <w:bCs w:val="0"/>
          <w:color w:val="000000"/>
          <w:sz w:val="24"/>
          <w:szCs w:val="24"/>
          <w:lang w:val="en-GB"/>
        </w:rPr>
        <w:t xml:space="preserve"> </w:t>
      </w:r>
      <w:r w:rsidR="00F81244" w:rsidRPr="00F81244">
        <w:rPr>
          <w:rStyle w:val="Strong"/>
          <w:rFonts w:ascii="Sylfaen" w:hAnsi="Sylfaen"/>
          <w:b w:val="0"/>
          <w:bCs w:val="0"/>
          <w:color w:val="000000"/>
          <w:sz w:val="24"/>
          <w:szCs w:val="24"/>
          <w:lang w:val="en-GB"/>
        </w:rPr>
        <w:t>millennia BC</w:t>
      </w:r>
      <w:r w:rsidR="0025679C" w:rsidRPr="009470AA">
        <w:rPr>
          <w:rFonts w:ascii="Sylfaen" w:hAnsi="Sylfaen"/>
          <w:b/>
          <w:bCs/>
          <w:color w:val="000000"/>
          <w:sz w:val="24"/>
          <w:szCs w:val="24"/>
          <w:lang w:val="en-GB"/>
        </w:rPr>
        <w:t>.</w:t>
      </w:r>
    </w:p>
    <w:p w14:paraId="49660BC1" w14:textId="77777777" w:rsidR="008A2904" w:rsidRDefault="008A2904" w:rsidP="009470AA">
      <w:pPr>
        <w:tabs>
          <w:tab w:val="left" w:pos="360"/>
        </w:tabs>
        <w:spacing w:after="0" w:line="360" w:lineRule="auto"/>
        <w:ind w:firstLine="720"/>
        <w:jc w:val="both"/>
        <w:rPr>
          <w:rFonts w:ascii="Sylfaen" w:hAnsi="Sylfaen"/>
          <w:b/>
          <w:bCs/>
          <w:sz w:val="24"/>
          <w:szCs w:val="24"/>
          <w:lang w:val="en-GB"/>
        </w:rPr>
      </w:pPr>
    </w:p>
    <w:p w14:paraId="2898AD0C" w14:textId="5A31F3E2" w:rsidR="00864685" w:rsidRPr="009470AA" w:rsidRDefault="00864685" w:rsidP="009470AA">
      <w:pPr>
        <w:tabs>
          <w:tab w:val="left" w:pos="360"/>
        </w:tabs>
        <w:spacing w:after="0" w:line="360" w:lineRule="auto"/>
        <w:ind w:firstLine="720"/>
        <w:jc w:val="both"/>
        <w:rPr>
          <w:rFonts w:ascii="Sylfaen" w:hAnsi="Sylfaen"/>
          <w:color w:val="0563C1" w:themeColor="hyperlink"/>
          <w:lang w:val="en-GB"/>
        </w:rPr>
      </w:pPr>
      <w:r w:rsidRPr="009470AA">
        <w:rPr>
          <w:rFonts w:ascii="Sylfaen" w:hAnsi="Sylfaen"/>
          <w:b/>
          <w:bCs/>
          <w:sz w:val="24"/>
          <w:szCs w:val="24"/>
          <w:lang w:val="en-GB"/>
        </w:rPr>
        <w:t>Address (municipality, city, village, valley, GPS Coordinates)</w:t>
      </w:r>
      <w:r w:rsidRPr="009470AA">
        <w:rPr>
          <w:rFonts w:ascii="Sylfaen" w:hAnsi="Sylfaen"/>
          <w:sz w:val="24"/>
          <w:szCs w:val="24"/>
          <w:lang w:val="en-GB"/>
        </w:rPr>
        <w:t xml:space="preserve"> - </w:t>
      </w:r>
      <w:r w:rsidR="00F81244" w:rsidRPr="00F81244">
        <w:rPr>
          <w:rFonts w:ascii="Sylfaen" w:hAnsi="Sylfaen"/>
          <w:sz w:val="24"/>
          <w:szCs w:val="24"/>
          <w:lang w:val="en-GB"/>
        </w:rPr>
        <w:t>Kobuleti, Kintrish</w:t>
      </w:r>
      <w:r w:rsidR="00F81244">
        <w:rPr>
          <w:rFonts w:ascii="Sylfaen" w:hAnsi="Sylfaen"/>
          <w:sz w:val="24"/>
          <w:szCs w:val="24"/>
          <w:lang w:val="en-GB"/>
        </w:rPr>
        <w:t>i</w:t>
      </w:r>
      <w:r w:rsidR="00F81244" w:rsidRPr="00F81244">
        <w:rPr>
          <w:rFonts w:ascii="Sylfaen" w:hAnsi="Sylfaen"/>
          <w:sz w:val="24"/>
          <w:szCs w:val="24"/>
          <w:lang w:val="en-GB"/>
        </w:rPr>
        <w:t xml:space="preserve"> valley, village Kobuleti; N 41 59.386 E 042 13.431</w:t>
      </w:r>
    </w:p>
    <w:p w14:paraId="57F96066" w14:textId="77777777" w:rsidR="008A2904" w:rsidRDefault="008A2904" w:rsidP="00F81244">
      <w:pPr>
        <w:spacing w:after="0" w:line="360" w:lineRule="auto"/>
        <w:ind w:firstLine="720"/>
        <w:jc w:val="both"/>
        <w:rPr>
          <w:rFonts w:ascii="Sylfaen" w:hAnsi="Sylfaen"/>
          <w:b/>
          <w:bCs/>
          <w:sz w:val="24"/>
          <w:szCs w:val="24"/>
          <w:lang w:val="en-GB"/>
        </w:rPr>
      </w:pPr>
    </w:p>
    <w:p w14:paraId="0433650D" w14:textId="6ADDBF1B" w:rsidR="00F81244" w:rsidRDefault="00864685" w:rsidP="00F81244">
      <w:pPr>
        <w:spacing w:after="0" w:line="360" w:lineRule="auto"/>
        <w:ind w:firstLine="720"/>
        <w:jc w:val="both"/>
        <w:rPr>
          <w:rFonts w:ascii="Sylfaen" w:hAnsi="Sylfaen"/>
          <w:b/>
          <w:bCs/>
          <w:sz w:val="24"/>
          <w:szCs w:val="24"/>
          <w:lang w:val="en-GB"/>
        </w:rPr>
      </w:pPr>
      <w:r w:rsidRPr="009470AA">
        <w:rPr>
          <w:rFonts w:ascii="Sylfaen" w:hAnsi="Sylfaen"/>
          <w:b/>
          <w:bCs/>
          <w:sz w:val="24"/>
          <w:szCs w:val="24"/>
          <w:lang w:val="en-GB"/>
        </w:rPr>
        <w:t>History of study/research (circumstances of discovery, studies conducted on the monument, researchers working on the monument, bibliography):</w:t>
      </w:r>
    </w:p>
    <w:p w14:paraId="42B86656" w14:textId="77777777" w:rsidR="00F81244" w:rsidRDefault="00F81244" w:rsidP="00F81244">
      <w:pPr>
        <w:spacing w:after="0" w:line="360" w:lineRule="auto"/>
        <w:ind w:firstLine="720"/>
        <w:jc w:val="both"/>
        <w:rPr>
          <w:rStyle w:val="Strong"/>
          <w:rFonts w:ascii="Sylfaen" w:hAnsi="Sylfaen"/>
          <w:b w:val="0"/>
          <w:bCs w:val="0"/>
          <w:color w:val="000000"/>
          <w:sz w:val="24"/>
          <w:szCs w:val="24"/>
          <w:lang w:val="en-GB"/>
        </w:rPr>
      </w:pPr>
      <w:r w:rsidRPr="00F81244">
        <w:rPr>
          <w:rStyle w:val="Strong"/>
          <w:rFonts w:ascii="Sylfaen" w:hAnsi="Sylfaen"/>
          <w:b w:val="0"/>
          <w:bCs w:val="0"/>
          <w:color w:val="000000"/>
          <w:sz w:val="24"/>
          <w:szCs w:val="24"/>
          <w:lang w:val="en-GB"/>
        </w:rPr>
        <w:t>The Stone Age settlement of Kobuleti is located approximately 8</w:t>
      </w:r>
      <w:r>
        <w:rPr>
          <w:rStyle w:val="Strong"/>
          <w:rFonts w:ascii="Sylfaen" w:hAnsi="Sylfaen"/>
          <w:b w:val="0"/>
          <w:bCs w:val="0"/>
          <w:color w:val="000000"/>
          <w:sz w:val="24"/>
          <w:szCs w:val="24"/>
          <w:lang w:val="en-GB"/>
        </w:rPr>
        <w:t>-</w:t>
      </w:r>
      <w:r w:rsidRPr="00F81244">
        <w:rPr>
          <w:rStyle w:val="Strong"/>
          <w:rFonts w:ascii="Sylfaen" w:hAnsi="Sylfaen"/>
          <w:b w:val="0"/>
          <w:bCs w:val="0"/>
          <w:color w:val="000000"/>
          <w:sz w:val="24"/>
          <w:szCs w:val="24"/>
          <w:lang w:val="en-GB"/>
        </w:rPr>
        <w:t>10 km from the village. The site is an open-air settlement situated on an ancient terrace of the river. The terrace rises approximately 20</w:t>
      </w:r>
      <w:r>
        <w:rPr>
          <w:rStyle w:val="Strong"/>
          <w:rFonts w:ascii="Sylfaen" w:hAnsi="Sylfaen"/>
          <w:b w:val="0"/>
          <w:bCs w:val="0"/>
          <w:color w:val="000000"/>
          <w:sz w:val="24"/>
          <w:szCs w:val="24"/>
          <w:lang w:val="en-GB"/>
        </w:rPr>
        <w:t>-</w:t>
      </w:r>
      <w:r w:rsidRPr="00F81244">
        <w:rPr>
          <w:rStyle w:val="Strong"/>
          <w:rFonts w:ascii="Sylfaen" w:hAnsi="Sylfaen"/>
          <w:b w:val="0"/>
          <w:bCs w:val="0"/>
          <w:color w:val="000000"/>
          <w:sz w:val="24"/>
          <w:szCs w:val="24"/>
          <w:lang w:val="en-GB"/>
        </w:rPr>
        <w:t>30 m above the surrounding area and covers a total area of more than 1 ha. Archaeological investigations have shown that the terrace was inhabited by prehistoric humans, as evidenced by Stone Age cultural layers preserved across much of the area, along with associated archaeological artifacts. The archaeological site is currently located within the homestead of N. Inaishvili in the village of Kobuleti.</w:t>
      </w:r>
    </w:p>
    <w:p w14:paraId="373AB714" w14:textId="77777777" w:rsidR="00EB37A4" w:rsidRDefault="00F81244" w:rsidP="00EB37A4">
      <w:pPr>
        <w:spacing w:after="0" w:line="360" w:lineRule="auto"/>
        <w:ind w:firstLine="720"/>
        <w:jc w:val="both"/>
        <w:rPr>
          <w:rStyle w:val="Strong"/>
          <w:rFonts w:ascii="Sylfaen" w:hAnsi="Sylfaen"/>
          <w:b w:val="0"/>
          <w:bCs w:val="0"/>
          <w:color w:val="000000"/>
          <w:sz w:val="24"/>
          <w:szCs w:val="24"/>
          <w:lang w:val="en-GB"/>
        </w:rPr>
      </w:pPr>
      <w:r w:rsidRPr="00F81244">
        <w:rPr>
          <w:rStyle w:val="Strong"/>
          <w:rFonts w:ascii="Sylfaen" w:hAnsi="Sylfaen"/>
          <w:b w:val="0"/>
          <w:bCs w:val="0"/>
          <w:color w:val="000000"/>
          <w:sz w:val="24"/>
          <w:szCs w:val="24"/>
          <w:lang w:val="en-GB"/>
        </w:rPr>
        <w:t xml:space="preserve">The first information about the archaeological site was provided by the prominent Georgian archaeologists </w:t>
      </w:r>
      <w:r w:rsidRPr="00437C30">
        <w:rPr>
          <w:rStyle w:val="Strong"/>
          <w:rFonts w:ascii="Sylfaen" w:hAnsi="Sylfaen"/>
          <w:color w:val="EE0000"/>
          <w:sz w:val="24"/>
          <w:szCs w:val="24"/>
          <w:lang w:val="en-GB"/>
        </w:rPr>
        <w:t>Nino Berdzenishvili</w:t>
      </w:r>
      <w:r w:rsidRPr="00437C30">
        <w:rPr>
          <w:rStyle w:val="Strong"/>
          <w:rFonts w:ascii="Sylfaen" w:hAnsi="Sylfaen"/>
          <w:b w:val="0"/>
          <w:bCs w:val="0"/>
          <w:color w:val="EE0000"/>
          <w:sz w:val="24"/>
          <w:szCs w:val="24"/>
          <w:lang w:val="en-GB"/>
        </w:rPr>
        <w:t xml:space="preserve"> </w:t>
      </w:r>
      <w:r w:rsidRPr="00F81244">
        <w:rPr>
          <w:rStyle w:val="Strong"/>
          <w:rFonts w:ascii="Sylfaen" w:hAnsi="Sylfaen"/>
          <w:b w:val="0"/>
          <w:bCs w:val="0"/>
          <w:color w:val="000000"/>
          <w:sz w:val="24"/>
          <w:szCs w:val="24"/>
          <w:lang w:val="en-GB"/>
        </w:rPr>
        <w:t xml:space="preserve">and </w:t>
      </w:r>
      <w:r w:rsidRPr="00437C30">
        <w:rPr>
          <w:rStyle w:val="Strong"/>
          <w:rFonts w:ascii="Sylfaen" w:hAnsi="Sylfaen"/>
          <w:color w:val="EE0000"/>
          <w:sz w:val="24"/>
          <w:szCs w:val="24"/>
          <w:lang w:val="en-GB"/>
        </w:rPr>
        <w:t>Lamara Nebieridze</w:t>
      </w:r>
      <w:r w:rsidRPr="00F81244">
        <w:rPr>
          <w:rStyle w:val="Strong"/>
          <w:rFonts w:ascii="Sylfaen" w:hAnsi="Sylfaen"/>
          <w:b w:val="0"/>
          <w:bCs w:val="0"/>
          <w:color w:val="000000"/>
          <w:sz w:val="24"/>
          <w:szCs w:val="24"/>
          <w:lang w:val="en-GB"/>
        </w:rPr>
        <w:t>, who conducted archaeological reconnaissance at the settlement in 1963 (Berdzenishvili and Nebieridze 1964: 7</w:t>
      </w:r>
      <w:r>
        <w:rPr>
          <w:rStyle w:val="Strong"/>
          <w:rFonts w:ascii="Sylfaen" w:hAnsi="Sylfaen"/>
          <w:b w:val="0"/>
          <w:bCs w:val="0"/>
          <w:color w:val="000000"/>
          <w:sz w:val="24"/>
          <w:szCs w:val="24"/>
          <w:lang w:val="en-GB"/>
        </w:rPr>
        <w:t>-</w:t>
      </w:r>
      <w:r w:rsidRPr="00F81244">
        <w:rPr>
          <w:rStyle w:val="Strong"/>
          <w:rFonts w:ascii="Sylfaen" w:hAnsi="Sylfaen"/>
          <w:b w:val="0"/>
          <w:bCs w:val="0"/>
          <w:color w:val="000000"/>
          <w:sz w:val="24"/>
          <w:szCs w:val="24"/>
          <w:lang w:val="en-GB"/>
        </w:rPr>
        <w:t>16).</w:t>
      </w:r>
    </w:p>
    <w:p w14:paraId="628E38D4" w14:textId="77777777" w:rsidR="00EB37A4" w:rsidRPr="00EB37A4" w:rsidRDefault="00EB37A4" w:rsidP="00EB37A4">
      <w:pPr>
        <w:spacing w:after="0" w:line="360" w:lineRule="auto"/>
        <w:ind w:firstLine="720"/>
        <w:jc w:val="both"/>
        <w:rPr>
          <w:rStyle w:val="Strong"/>
          <w:rFonts w:ascii="Sylfaen" w:hAnsi="Sylfaen"/>
          <w:b w:val="0"/>
          <w:bCs w:val="0"/>
          <w:color w:val="000000"/>
          <w:sz w:val="24"/>
          <w:szCs w:val="24"/>
          <w:lang w:val="en-GB"/>
        </w:rPr>
      </w:pPr>
      <w:r w:rsidRPr="00EB37A4">
        <w:rPr>
          <w:rStyle w:val="Strong"/>
          <w:rFonts w:ascii="Sylfaen" w:hAnsi="Sylfaen"/>
          <w:b w:val="0"/>
          <w:bCs w:val="0"/>
          <w:color w:val="000000"/>
          <w:sz w:val="24"/>
          <w:szCs w:val="24"/>
          <w:lang w:val="en-GB"/>
        </w:rPr>
        <w:lastRenderedPageBreak/>
        <w:t xml:space="preserve">Between 1973 and 1986, the Stone Age settlement of Kobuleti was systematically investigated by archaeologist </w:t>
      </w:r>
      <w:r w:rsidRPr="00437C30">
        <w:rPr>
          <w:rStyle w:val="Strong"/>
          <w:rFonts w:ascii="Sylfaen" w:hAnsi="Sylfaen"/>
          <w:color w:val="EE0000"/>
          <w:sz w:val="24"/>
          <w:szCs w:val="24"/>
          <w:lang w:val="en-GB"/>
        </w:rPr>
        <w:t>Sergo Gogitidze</w:t>
      </w:r>
      <w:r w:rsidRPr="00EB37A4">
        <w:rPr>
          <w:rStyle w:val="Strong"/>
          <w:rFonts w:ascii="Sylfaen" w:hAnsi="Sylfaen"/>
          <w:b w:val="0"/>
          <w:bCs w:val="0"/>
          <w:color w:val="000000"/>
          <w:sz w:val="24"/>
          <w:szCs w:val="24"/>
          <w:lang w:val="en-GB"/>
        </w:rPr>
        <w:t>, who uncovered more than 30,000 artifacts and other archaeological finds (Gogitidze 1978; 2008).</w:t>
      </w:r>
    </w:p>
    <w:p w14:paraId="0527108F" w14:textId="77777777" w:rsidR="00EB37A4" w:rsidRDefault="00EB37A4" w:rsidP="00EB37A4">
      <w:pPr>
        <w:spacing w:after="0" w:line="360" w:lineRule="auto"/>
        <w:ind w:firstLine="720"/>
        <w:jc w:val="both"/>
        <w:rPr>
          <w:rStyle w:val="Strong"/>
          <w:rFonts w:ascii="Sylfaen" w:hAnsi="Sylfaen"/>
          <w:b w:val="0"/>
          <w:bCs w:val="0"/>
          <w:color w:val="000000"/>
          <w:sz w:val="24"/>
          <w:szCs w:val="24"/>
          <w:lang w:val="en-GB"/>
        </w:rPr>
      </w:pPr>
      <w:r w:rsidRPr="00EB37A4">
        <w:rPr>
          <w:rStyle w:val="Strong"/>
          <w:rFonts w:ascii="Sylfaen" w:hAnsi="Sylfaen"/>
          <w:b w:val="0"/>
          <w:bCs w:val="0"/>
          <w:color w:val="000000"/>
          <w:sz w:val="24"/>
          <w:szCs w:val="24"/>
          <w:lang w:val="en-GB"/>
        </w:rPr>
        <w:t xml:space="preserve">Between 2019 and 2025, archaeological investigations at the Kobuleti settlement resumed with the financial support of Batumi Shota Rustaveli State University, the Shota Rustaveli National Science Foundation of Georgia, and the Kobuleti Municipality City Hall. The international archaeological research project was led by </w:t>
      </w:r>
      <w:r w:rsidRPr="00437C30">
        <w:rPr>
          <w:rStyle w:val="Strong"/>
          <w:rFonts w:ascii="Sylfaen" w:hAnsi="Sylfaen"/>
          <w:b w:val="0"/>
          <w:bCs w:val="0"/>
          <w:color w:val="000000"/>
          <w:sz w:val="24"/>
          <w:szCs w:val="24"/>
          <w:lang w:val="en-GB"/>
        </w:rPr>
        <w:t>Guram Chkhatarashvili</w:t>
      </w:r>
      <w:r w:rsidRPr="00EB37A4">
        <w:rPr>
          <w:rStyle w:val="Strong"/>
          <w:rFonts w:ascii="Sylfaen" w:hAnsi="Sylfaen"/>
          <w:b w:val="0"/>
          <w:bCs w:val="0"/>
          <w:color w:val="000000"/>
          <w:sz w:val="24"/>
          <w:szCs w:val="24"/>
          <w:lang w:val="en-GB"/>
        </w:rPr>
        <w:t>. In addition to archaeologists, specialists from various natural-science disciplines</w:t>
      </w:r>
      <w:r>
        <w:rPr>
          <w:rStyle w:val="Strong"/>
          <w:rFonts w:ascii="Sylfaen" w:hAnsi="Sylfaen"/>
          <w:b w:val="0"/>
          <w:bCs w:val="0"/>
          <w:color w:val="000000"/>
          <w:sz w:val="24"/>
          <w:szCs w:val="24"/>
          <w:lang w:val="en-GB"/>
        </w:rPr>
        <w:t xml:space="preserve"> - </w:t>
      </w:r>
      <w:r w:rsidRPr="00EB37A4">
        <w:rPr>
          <w:rStyle w:val="Strong"/>
          <w:rFonts w:ascii="Sylfaen" w:hAnsi="Sylfaen"/>
          <w:b w:val="0"/>
          <w:bCs w:val="0"/>
          <w:color w:val="000000"/>
          <w:sz w:val="24"/>
          <w:szCs w:val="24"/>
          <w:lang w:val="en-GB"/>
        </w:rPr>
        <w:t>including palynology, geochemistry, geophysics, archaeobotany, and geology</w:t>
      </w:r>
      <w:r>
        <w:rPr>
          <w:rStyle w:val="Strong"/>
          <w:rFonts w:ascii="Sylfaen" w:hAnsi="Sylfaen"/>
          <w:b w:val="0"/>
          <w:bCs w:val="0"/>
          <w:color w:val="000000"/>
          <w:sz w:val="24"/>
          <w:szCs w:val="24"/>
          <w:lang w:val="en-GB"/>
        </w:rPr>
        <w:t xml:space="preserve"> - </w:t>
      </w:r>
      <w:r w:rsidRPr="00EB37A4">
        <w:rPr>
          <w:rStyle w:val="Strong"/>
          <w:rFonts w:ascii="Sylfaen" w:hAnsi="Sylfaen"/>
          <w:b w:val="0"/>
          <w:bCs w:val="0"/>
          <w:color w:val="000000"/>
          <w:sz w:val="24"/>
          <w:szCs w:val="24"/>
          <w:lang w:val="en-GB"/>
        </w:rPr>
        <w:t>participated in the research.</w:t>
      </w:r>
    </w:p>
    <w:p w14:paraId="46B2F4DF" w14:textId="77777777" w:rsidR="00EB37A4" w:rsidRDefault="00EB37A4" w:rsidP="00EB37A4">
      <w:pPr>
        <w:spacing w:after="0" w:line="360" w:lineRule="auto"/>
        <w:ind w:firstLine="720"/>
        <w:jc w:val="both"/>
        <w:rPr>
          <w:rStyle w:val="Strong"/>
          <w:rFonts w:ascii="Sylfaen" w:hAnsi="Sylfaen"/>
          <w:b w:val="0"/>
          <w:bCs w:val="0"/>
          <w:color w:val="000000"/>
          <w:sz w:val="24"/>
          <w:szCs w:val="24"/>
          <w:lang w:val="en-GB"/>
        </w:rPr>
      </w:pPr>
      <w:r w:rsidRPr="00EB37A4">
        <w:rPr>
          <w:rStyle w:val="Strong"/>
          <w:rFonts w:ascii="Sylfaen" w:hAnsi="Sylfaen"/>
          <w:b w:val="0"/>
          <w:bCs w:val="0"/>
          <w:color w:val="000000"/>
          <w:sz w:val="24"/>
          <w:szCs w:val="24"/>
          <w:lang w:val="en-GB"/>
        </w:rPr>
        <w:t>The archaeological campaigns yielded a substantial assemblage of archaeological material, comprising approximately 35,000 finds, of which around 3,000 are stone tools. The cores include cylindrical and pencil-shaped forms, from which straight bladelets and microlamellae were produced using the hand-pressure technique. The tool assemblage comprises several categories. Scrapers are predominantly made on flakes, while a small number are made on blades and microlamellae. A significant group consists of tools manufactured on large, thick flakes. Cutting tools are particularly notable for their variety and abundance. Most were made on blades and microlamellae and are represented mainly by end and lateral truncations.</w:t>
      </w:r>
    </w:p>
    <w:p w14:paraId="5A68EE52" w14:textId="2B685B50" w:rsidR="00F81244" w:rsidRPr="00EB37A4" w:rsidRDefault="00EB37A4" w:rsidP="00EB37A4">
      <w:pPr>
        <w:spacing w:after="0" w:line="360" w:lineRule="auto"/>
        <w:ind w:firstLine="720"/>
        <w:jc w:val="both"/>
        <w:rPr>
          <w:rStyle w:val="Strong"/>
          <w:rFonts w:ascii="Sylfaen" w:hAnsi="Sylfaen"/>
          <w:b w:val="0"/>
          <w:bCs w:val="0"/>
          <w:color w:val="000000"/>
          <w:sz w:val="28"/>
          <w:szCs w:val="28"/>
          <w:lang w:val="en-GB"/>
        </w:rPr>
      </w:pPr>
      <w:r w:rsidRPr="00EB37A4">
        <w:rPr>
          <w:rStyle w:val="Strong"/>
          <w:rFonts w:ascii="Sylfaen" w:hAnsi="Sylfaen"/>
          <w:b w:val="0"/>
          <w:bCs w:val="0"/>
          <w:color w:val="000000"/>
          <w:sz w:val="24"/>
          <w:szCs w:val="24"/>
          <w:lang w:val="en-GB"/>
        </w:rPr>
        <w:t xml:space="preserve">In addition, interdisciplinary research has provided important insights into the environmental conditions in which prehistoric humans lived (a warm climate), their principal subsistence activity (hunting), their contacts with </w:t>
      </w:r>
      <w:r w:rsidR="008A2904" w:rsidRPr="00EB37A4">
        <w:rPr>
          <w:rStyle w:val="Strong"/>
          <w:rFonts w:ascii="Sylfaen" w:hAnsi="Sylfaen"/>
          <w:b w:val="0"/>
          <w:bCs w:val="0"/>
          <w:color w:val="000000"/>
          <w:sz w:val="24"/>
          <w:szCs w:val="24"/>
          <w:lang w:val="en-GB"/>
        </w:rPr>
        <w:t>neighbouring</w:t>
      </w:r>
      <w:r w:rsidRPr="00EB37A4">
        <w:rPr>
          <w:rStyle w:val="Strong"/>
          <w:rFonts w:ascii="Sylfaen" w:hAnsi="Sylfaen"/>
          <w:b w:val="0"/>
          <w:bCs w:val="0"/>
          <w:color w:val="000000"/>
          <w:sz w:val="24"/>
          <w:szCs w:val="24"/>
          <w:lang w:val="en-GB"/>
        </w:rPr>
        <w:t xml:space="preserve"> regions (southern Georgia, Javakheti, and Eastern Anatolia), lithic technology (the pressure-flaking technique), and the chronological framework of the site, among other aspects (Chkhatarashvili, 2023; 2025; Chkhatarashvili et al., 2020; Chkhatarashvili and Manko, 2020; Chkhatarashvili and Glascock, 2022).</w:t>
      </w:r>
    </w:p>
    <w:p w14:paraId="068B9B6E" w14:textId="77777777" w:rsidR="00F81244" w:rsidRPr="00C04723" w:rsidRDefault="00F81244" w:rsidP="00EB37A4">
      <w:pPr>
        <w:spacing w:after="0" w:line="360" w:lineRule="auto"/>
        <w:jc w:val="both"/>
        <w:rPr>
          <w:rFonts w:ascii="Sylfaen" w:hAnsi="Sylfaen"/>
          <w:b/>
          <w:bCs/>
          <w:sz w:val="24"/>
          <w:szCs w:val="24"/>
          <w:lang w:val="ka-GE"/>
        </w:rPr>
      </w:pPr>
    </w:p>
    <w:p w14:paraId="34D6840F" w14:textId="77777777" w:rsidR="005A61BD" w:rsidRPr="009470AA" w:rsidRDefault="005A61BD" w:rsidP="009470AA">
      <w:pPr>
        <w:spacing w:after="0" w:line="360" w:lineRule="auto"/>
        <w:ind w:firstLine="720"/>
        <w:rPr>
          <w:rFonts w:ascii="Sylfaen" w:hAnsi="Sylfaen"/>
          <w:b/>
          <w:bCs/>
          <w:color w:val="000000"/>
          <w:sz w:val="24"/>
          <w:szCs w:val="24"/>
          <w:lang w:val="en-GB"/>
        </w:rPr>
      </w:pPr>
      <w:r w:rsidRPr="009470AA">
        <w:rPr>
          <w:rFonts w:ascii="Sylfaen" w:hAnsi="Sylfaen"/>
          <w:b/>
          <w:bCs/>
          <w:color w:val="000000"/>
          <w:sz w:val="24"/>
          <w:szCs w:val="24"/>
          <w:lang w:val="en-GB"/>
        </w:rPr>
        <w:lastRenderedPageBreak/>
        <w:t>Bibliography:</w:t>
      </w:r>
    </w:p>
    <w:p w14:paraId="2494F6A9" w14:textId="6F158AE4"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1. </w:t>
      </w:r>
      <w:r w:rsidRPr="00EB37A4">
        <w:rPr>
          <w:rFonts w:ascii="Sylfaen" w:hAnsi="Sylfaen"/>
          <w:b/>
          <w:bCs/>
          <w:sz w:val="24"/>
          <w:szCs w:val="24"/>
          <w:lang w:val="en-GB"/>
        </w:rPr>
        <w:t>Berdzenishvili N., Nebieridze L.,</w:t>
      </w:r>
      <w:r w:rsidRPr="00EB37A4">
        <w:rPr>
          <w:rFonts w:ascii="Sylfaen" w:hAnsi="Sylfaen"/>
          <w:sz w:val="24"/>
          <w:szCs w:val="24"/>
          <w:lang w:val="en-GB"/>
        </w:rPr>
        <w:t xml:space="preserve"> Stone Age Settlements in the Kintrishi Gorge, Monuments of South-Western Georgia, I, Tbilisi, 1964, </w:t>
      </w:r>
      <w:r w:rsidR="008A2904">
        <w:rPr>
          <w:rFonts w:ascii="Sylfaen" w:hAnsi="Sylfaen"/>
          <w:sz w:val="24"/>
          <w:szCs w:val="24"/>
          <w:lang w:val="en-GB"/>
        </w:rPr>
        <w:t xml:space="preserve">pp. </w:t>
      </w:r>
      <w:r w:rsidRPr="00EB37A4">
        <w:rPr>
          <w:rFonts w:ascii="Sylfaen" w:hAnsi="Sylfaen"/>
          <w:sz w:val="24"/>
          <w:szCs w:val="24"/>
          <w:lang w:val="en-GB"/>
        </w:rPr>
        <w:t>7-16</w:t>
      </w:r>
    </w:p>
    <w:p w14:paraId="01C7889D" w14:textId="77777777"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2. </w:t>
      </w:r>
      <w:r w:rsidRPr="00EB37A4">
        <w:rPr>
          <w:rFonts w:ascii="Sylfaen" w:hAnsi="Sylfaen"/>
          <w:b/>
          <w:bCs/>
          <w:sz w:val="24"/>
          <w:szCs w:val="24"/>
          <w:lang w:val="en-GB"/>
        </w:rPr>
        <w:t>Gogitidze S.,</w:t>
      </w:r>
      <w:r w:rsidRPr="00EB37A4">
        <w:rPr>
          <w:rFonts w:ascii="Sylfaen" w:hAnsi="Sylfaen"/>
          <w:sz w:val="24"/>
          <w:szCs w:val="24"/>
          <w:lang w:val="en-GB"/>
        </w:rPr>
        <w:t xml:space="preserve"> Neolithic Culture of the South-Eastern Black Sea Coast, Tbilisi, 1978</w:t>
      </w:r>
    </w:p>
    <w:p w14:paraId="5ED0B2FE" w14:textId="77777777"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3. </w:t>
      </w:r>
      <w:r w:rsidRPr="00EB37A4">
        <w:rPr>
          <w:rFonts w:ascii="Sylfaen" w:hAnsi="Sylfaen"/>
          <w:b/>
          <w:bCs/>
          <w:sz w:val="24"/>
          <w:szCs w:val="24"/>
          <w:lang w:val="en-GB"/>
        </w:rPr>
        <w:t>Gogitidze S.,</w:t>
      </w:r>
      <w:r w:rsidRPr="00EB37A4">
        <w:rPr>
          <w:rFonts w:ascii="Sylfaen" w:hAnsi="Sylfaen"/>
          <w:sz w:val="24"/>
          <w:szCs w:val="24"/>
          <w:lang w:val="en-GB"/>
        </w:rPr>
        <w:t xml:space="preserve"> Archaeological Monuments of the Kintrishi Gorge (</w:t>
      </w:r>
      <w:r>
        <w:rPr>
          <w:rFonts w:ascii="Sylfaen" w:hAnsi="Sylfaen"/>
          <w:sz w:val="24"/>
          <w:szCs w:val="24"/>
          <w:lang w:val="en-GB"/>
        </w:rPr>
        <w:t>Early-</w:t>
      </w:r>
      <w:r w:rsidRPr="00EB37A4">
        <w:rPr>
          <w:rFonts w:ascii="Sylfaen" w:hAnsi="Sylfaen"/>
          <w:sz w:val="24"/>
          <w:szCs w:val="24"/>
          <w:lang w:val="en-GB"/>
        </w:rPr>
        <w:t>neolithic Settlement of Kobuleti), Batumi, 2008</w:t>
      </w:r>
    </w:p>
    <w:p w14:paraId="076FB0D1" w14:textId="77777777"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4. </w:t>
      </w:r>
      <w:r w:rsidRPr="00EB37A4">
        <w:rPr>
          <w:rFonts w:ascii="Sylfaen" w:hAnsi="Sylfaen"/>
          <w:b/>
          <w:bCs/>
          <w:sz w:val="24"/>
          <w:szCs w:val="24"/>
          <w:lang w:val="en-GB"/>
        </w:rPr>
        <w:t>Chkhatarashvili G.,</w:t>
      </w:r>
      <w:r w:rsidRPr="00EB37A4">
        <w:rPr>
          <w:rFonts w:ascii="Sylfaen" w:hAnsi="Sylfaen"/>
          <w:sz w:val="24"/>
          <w:szCs w:val="24"/>
          <w:lang w:val="en-GB"/>
        </w:rPr>
        <w:t xml:space="preserve"> 2023. Archaeological Monuments of the Prehistoric Era in the Surroundings of </w:t>
      </w:r>
      <w:r>
        <w:rPr>
          <w:rFonts w:ascii="Sylfaen" w:hAnsi="Sylfaen"/>
          <w:sz w:val="24"/>
          <w:szCs w:val="24"/>
          <w:lang w:val="en-GB"/>
        </w:rPr>
        <w:t>Pichvnari</w:t>
      </w:r>
      <w:r w:rsidRPr="00EB37A4">
        <w:rPr>
          <w:rFonts w:ascii="Sylfaen" w:hAnsi="Sylfaen"/>
          <w:sz w:val="24"/>
          <w:szCs w:val="24"/>
          <w:lang w:val="en-GB"/>
        </w:rPr>
        <w:t xml:space="preserve">, </w:t>
      </w:r>
      <w:r>
        <w:rPr>
          <w:rFonts w:ascii="Sylfaen" w:hAnsi="Sylfaen"/>
          <w:sz w:val="24"/>
          <w:szCs w:val="24"/>
          <w:lang w:val="en-GB"/>
        </w:rPr>
        <w:t>Pichvnari</w:t>
      </w:r>
      <w:r w:rsidRPr="00EB37A4">
        <w:rPr>
          <w:rFonts w:ascii="Sylfaen" w:hAnsi="Sylfaen"/>
          <w:sz w:val="24"/>
          <w:szCs w:val="24"/>
          <w:lang w:val="en-GB"/>
        </w:rPr>
        <w:t xml:space="preserve"> VIII, Batumi, 2023, 9-23 (</w:t>
      </w:r>
      <w:r w:rsidRPr="008A2904">
        <w:rPr>
          <w:rFonts w:ascii="Sylfaen" w:hAnsi="Sylfaen"/>
          <w:color w:val="538135" w:themeColor="accent6" w:themeShade="BF"/>
          <w:sz w:val="24"/>
          <w:szCs w:val="24"/>
          <w:lang w:val="en-GB"/>
        </w:rPr>
        <w:t>pdf</w:t>
      </w:r>
      <w:r w:rsidRPr="00EB37A4">
        <w:rPr>
          <w:rFonts w:ascii="Sylfaen" w:hAnsi="Sylfaen"/>
          <w:sz w:val="24"/>
          <w:szCs w:val="24"/>
          <w:lang w:val="en-GB"/>
        </w:rPr>
        <w:t>)</w:t>
      </w:r>
    </w:p>
    <w:p w14:paraId="62DEF3AD" w14:textId="247CEA1B"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5. </w:t>
      </w:r>
      <w:r w:rsidRPr="00EB37A4">
        <w:rPr>
          <w:rFonts w:ascii="Sylfaen" w:hAnsi="Sylfaen"/>
          <w:b/>
          <w:bCs/>
          <w:sz w:val="24"/>
          <w:szCs w:val="24"/>
          <w:lang w:val="en-GB"/>
        </w:rPr>
        <w:t>Chkhatarashvili G.,</w:t>
      </w:r>
      <w:r w:rsidRPr="00EB37A4">
        <w:rPr>
          <w:rFonts w:ascii="Sylfaen" w:hAnsi="Sylfaen"/>
          <w:sz w:val="24"/>
          <w:szCs w:val="24"/>
          <w:lang w:val="en-GB"/>
        </w:rPr>
        <w:t xml:space="preserve"> New Data on the Village of </w:t>
      </w:r>
      <w:r w:rsidR="008A2904" w:rsidRPr="00EB37A4">
        <w:rPr>
          <w:rFonts w:ascii="Sylfaen" w:hAnsi="Sylfaen"/>
          <w:sz w:val="24"/>
          <w:szCs w:val="24"/>
          <w:lang w:val="en-GB"/>
        </w:rPr>
        <w:t>on</w:t>
      </w:r>
      <w:r w:rsidRPr="00EB37A4">
        <w:rPr>
          <w:rFonts w:ascii="Sylfaen" w:hAnsi="Sylfaen"/>
          <w:sz w:val="24"/>
          <w:szCs w:val="24"/>
          <w:lang w:val="en-GB"/>
        </w:rPr>
        <w:t xml:space="preserve"> the supply of Kobuleti obsidian and ancient human mobility, Black Sea Coast at the Crossroads of Civilizations, III, 2025, 47-74</w:t>
      </w:r>
    </w:p>
    <w:p w14:paraId="1E372511" w14:textId="156A20D6"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6.</w:t>
      </w:r>
      <w:r w:rsidRPr="00EB37A4">
        <w:rPr>
          <w:rFonts w:ascii="Sylfaen" w:hAnsi="Sylfaen"/>
          <w:b/>
          <w:bCs/>
          <w:sz w:val="24"/>
          <w:szCs w:val="24"/>
          <w:lang w:val="en-GB"/>
        </w:rPr>
        <w:t xml:space="preserve"> </w:t>
      </w:r>
      <w:r w:rsidR="008A2904" w:rsidRPr="00EB37A4">
        <w:rPr>
          <w:rFonts w:ascii="Sylfaen" w:hAnsi="Sylfaen"/>
          <w:b/>
          <w:bCs/>
          <w:sz w:val="24"/>
          <w:szCs w:val="24"/>
          <w:lang w:val="en-GB"/>
        </w:rPr>
        <w:t>Chkhatarashvili</w:t>
      </w:r>
      <w:r w:rsidRPr="00EB37A4">
        <w:rPr>
          <w:rFonts w:ascii="Sylfaen" w:hAnsi="Sylfaen"/>
          <w:b/>
          <w:bCs/>
          <w:sz w:val="24"/>
          <w:szCs w:val="24"/>
          <w:lang w:val="en-GB"/>
        </w:rPr>
        <w:t xml:space="preserve"> G., Manko V., Kakhidze A., Esakiya K., Chichinadze M., Kulkova M., Streltcov M.</w:t>
      </w:r>
      <w:r w:rsidRPr="00EB37A4">
        <w:rPr>
          <w:rFonts w:ascii="Sylfaen" w:hAnsi="Sylfaen"/>
          <w:sz w:val="24"/>
          <w:szCs w:val="24"/>
          <w:lang w:val="en-GB"/>
        </w:rPr>
        <w:t xml:space="preserve"> South-East Black</w:t>
      </w:r>
      <w:r>
        <w:rPr>
          <w:rFonts w:ascii="Sylfaen" w:hAnsi="Sylfaen"/>
          <w:sz w:val="24"/>
          <w:szCs w:val="24"/>
          <w:lang w:val="en-GB"/>
        </w:rPr>
        <w:t xml:space="preserve"> </w:t>
      </w:r>
      <w:r w:rsidRPr="00EB37A4">
        <w:rPr>
          <w:rFonts w:ascii="Sylfaen" w:hAnsi="Sylfaen"/>
          <w:sz w:val="24"/>
          <w:szCs w:val="24"/>
          <w:lang w:val="en-GB"/>
        </w:rPr>
        <w:t>Sea Coast in Early Holocene Period (According to</w:t>
      </w:r>
      <w:r>
        <w:rPr>
          <w:rFonts w:ascii="Sylfaen" w:hAnsi="Sylfaen"/>
          <w:sz w:val="24"/>
          <w:szCs w:val="24"/>
          <w:lang w:val="en-GB"/>
        </w:rPr>
        <w:t xml:space="preserve"> </w:t>
      </w:r>
      <w:r w:rsidRPr="00EB37A4">
        <w:rPr>
          <w:rFonts w:ascii="Sylfaen" w:hAnsi="Sylfaen"/>
          <w:sz w:val="24"/>
          <w:szCs w:val="24"/>
          <w:lang w:val="en-GB"/>
        </w:rPr>
        <w:t>interdisciplinary archaeological investigations in Kobuleti site), Sprawozdania Archeologiczne, 72(2), 2020, 213-230 (</w:t>
      </w:r>
      <w:r w:rsidRPr="008A2904">
        <w:rPr>
          <w:rFonts w:ascii="Sylfaen" w:hAnsi="Sylfaen"/>
          <w:color w:val="538135" w:themeColor="accent6" w:themeShade="BF"/>
          <w:sz w:val="24"/>
          <w:szCs w:val="24"/>
          <w:lang w:val="en-GB"/>
        </w:rPr>
        <w:t>pdf</w:t>
      </w:r>
      <w:r w:rsidRPr="00EB37A4">
        <w:rPr>
          <w:rFonts w:ascii="Sylfaen" w:hAnsi="Sylfaen"/>
          <w:sz w:val="24"/>
          <w:szCs w:val="24"/>
          <w:lang w:val="en-GB"/>
        </w:rPr>
        <w:t>)</w:t>
      </w:r>
    </w:p>
    <w:p w14:paraId="4495C242" w14:textId="77777777"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7. </w:t>
      </w:r>
      <w:r w:rsidRPr="00EB37A4">
        <w:rPr>
          <w:rFonts w:ascii="Sylfaen" w:hAnsi="Sylfaen"/>
          <w:b/>
          <w:bCs/>
          <w:sz w:val="24"/>
          <w:szCs w:val="24"/>
          <w:lang w:val="en-GB"/>
        </w:rPr>
        <w:t>Chkhatarashvili G. Manko V</w:t>
      </w:r>
      <w:r w:rsidRPr="00EB37A4">
        <w:rPr>
          <w:rFonts w:ascii="Sylfaen" w:hAnsi="Sylfaen"/>
          <w:sz w:val="24"/>
          <w:szCs w:val="24"/>
          <w:lang w:val="en-GB"/>
        </w:rPr>
        <w:t>. 2020. Kobuleti Site. The Evidence for Early Holocene Occupation in Western Georgia. Documenta Praehistorica, XLVII, 2020, 28-35 (</w:t>
      </w:r>
      <w:r w:rsidRPr="008A2904">
        <w:rPr>
          <w:rFonts w:ascii="Sylfaen" w:hAnsi="Sylfaen"/>
          <w:color w:val="538135" w:themeColor="accent6" w:themeShade="BF"/>
          <w:sz w:val="24"/>
          <w:szCs w:val="24"/>
          <w:lang w:val="en-GB"/>
        </w:rPr>
        <w:t>pdf</w:t>
      </w:r>
      <w:r w:rsidRPr="00EB37A4">
        <w:rPr>
          <w:rFonts w:ascii="Sylfaen" w:hAnsi="Sylfaen"/>
          <w:sz w:val="24"/>
          <w:szCs w:val="24"/>
          <w:lang w:val="en-GB"/>
        </w:rPr>
        <w:t>)</w:t>
      </w:r>
    </w:p>
    <w:p w14:paraId="404A49F3" w14:textId="77777777" w:rsidR="00EB37A4" w:rsidRPr="00EB37A4" w:rsidRDefault="00EB37A4" w:rsidP="00EB37A4">
      <w:pPr>
        <w:spacing w:after="0" w:line="360" w:lineRule="auto"/>
        <w:ind w:firstLine="720"/>
        <w:jc w:val="both"/>
        <w:rPr>
          <w:rFonts w:ascii="Sylfaen" w:hAnsi="Sylfaen"/>
          <w:sz w:val="24"/>
          <w:szCs w:val="24"/>
          <w:lang w:val="en-GB"/>
        </w:rPr>
      </w:pPr>
      <w:r w:rsidRPr="00EB37A4">
        <w:rPr>
          <w:rFonts w:ascii="Sylfaen" w:hAnsi="Sylfaen"/>
          <w:sz w:val="24"/>
          <w:szCs w:val="24"/>
          <w:lang w:val="en-GB"/>
        </w:rPr>
        <w:t xml:space="preserve">8. </w:t>
      </w:r>
      <w:r w:rsidRPr="00EB37A4">
        <w:rPr>
          <w:rFonts w:ascii="Sylfaen" w:hAnsi="Sylfaen"/>
          <w:b/>
          <w:bCs/>
          <w:sz w:val="24"/>
          <w:szCs w:val="24"/>
          <w:lang w:val="en-GB"/>
        </w:rPr>
        <w:t>Chkhatarashvili G., Glascock M</w:t>
      </w:r>
      <w:r w:rsidRPr="00EB37A4">
        <w:rPr>
          <w:rFonts w:ascii="Sylfaen" w:hAnsi="Sylfaen"/>
          <w:sz w:val="24"/>
          <w:szCs w:val="24"/>
          <w:lang w:val="en-GB"/>
        </w:rPr>
        <w:t xml:space="preserve">. 2022. Obsidian at Kobuleti (Western Georgia): Evidence for early human contact in Western Transcaucasia during the Early Holocene, Archaeological Research in Asia, 29, 1-8 </w:t>
      </w:r>
    </w:p>
    <w:p w14:paraId="7D03BF4C" w14:textId="77777777" w:rsidR="00063434" w:rsidRPr="00EB37A4" w:rsidRDefault="00EB37A4" w:rsidP="00EB37A4">
      <w:pPr>
        <w:spacing w:after="0" w:line="360" w:lineRule="auto"/>
        <w:ind w:firstLine="720"/>
        <w:jc w:val="both"/>
        <w:rPr>
          <w:rFonts w:ascii="Sylfaen" w:hAnsi="Sylfaen"/>
          <w:sz w:val="24"/>
          <w:szCs w:val="24"/>
          <w:lang w:val="en-GB"/>
        </w:rPr>
      </w:pPr>
      <w:hyperlink r:id="rId5" w:history="1">
        <w:r w:rsidRPr="00864969">
          <w:rPr>
            <w:rStyle w:val="Hyperlink"/>
            <w:rFonts w:ascii="Sylfaen" w:hAnsi="Sylfaen"/>
            <w:sz w:val="24"/>
            <w:szCs w:val="24"/>
            <w:lang w:val="en-GB"/>
          </w:rPr>
          <w:t>https://doi.org/10.1016/j.ara.2021.100348</w:t>
        </w:r>
      </w:hyperlink>
      <w:r>
        <w:rPr>
          <w:rFonts w:ascii="Sylfaen" w:hAnsi="Sylfaen"/>
          <w:sz w:val="24"/>
          <w:szCs w:val="24"/>
          <w:lang w:val="en-GB"/>
        </w:rPr>
        <w:t xml:space="preserve"> </w:t>
      </w:r>
    </w:p>
    <w:p w14:paraId="13CEC684" w14:textId="77777777" w:rsidR="00EB37A4" w:rsidRPr="00EB37A4" w:rsidRDefault="00EB37A4" w:rsidP="00EB37A4">
      <w:pPr>
        <w:spacing w:after="0" w:line="360" w:lineRule="auto"/>
        <w:ind w:firstLine="720"/>
        <w:jc w:val="both"/>
        <w:rPr>
          <w:rFonts w:ascii="Sylfaen" w:hAnsi="Sylfaen"/>
          <w:sz w:val="24"/>
          <w:szCs w:val="24"/>
          <w:lang w:val="en-GB"/>
        </w:rPr>
      </w:pPr>
    </w:p>
    <w:sectPr w:rsidR="00EB37A4" w:rsidRPr="00EB37A4"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13ED4"/>
    <w:multiLevelType w:val="multilevel"/>
    <w:tmpl w:val="201C1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726F8C"/>
    <w:multiLevelType w:val="multilevel"/>
    <w:tmpl w:val="1B40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98109">
    <w:abstractNumId w:val="0"/>
  </w:num>
  <w:num w:numId="2" w16cid:durableId="1106080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0C47C4"/>
    <w:rsid w:val="001E0103"/>
    <w:rsid w:val="0025679C"/>
    <w:rsid w:val="002A64EF"/>
    <w:rsid w:val="002F701A"/>
    <w:rsid w:val="003B2A72"/>
    <w:rsid w:val="00437C30"/>
    <w:rsid w:val="00440CB2"/>
    <w:rsid w:val="004868CB"/>
    <w:rsid w:val="00593C8C"/>
    <w:rsid w:val="005A61BD"/>
    <w:rsid w:val="005E7E89"/>
    <w:rsid w:val="006F65D6"/>
    <w:rsid w:val="00782468"/>
    <w:rsid w:val="00794638"/>
    <w:rsid w:val="00864685"/>
    <w:rsid w:val="008A2904"/>
    <w:rsid w:val="009470AA"/>
    <w:rsid w:val="009D2FA5"/>
    <w:rsid w:val="00A53BA4"/>
    <w:rsid w:val="00B90953"/>
    <w:rsid w:val="00C0311C"/>
    <w:rsid w:val="00C04723"/>
    <w:rsid w:val="00C60EF3"/>
    <w:rsid w:val="00D513D6"/>
    <w:rsid w:val="00EB37A4"/>
    <w:rsid w:val="00EF7062"/>
    <w:rsid w:val="00F81244"/>
    <w:rsid w:val="00F832CC"/>
    <w:rsid w:val="00FA42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100FB"/>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paragraph" w:styleId="Heading3">
    <w:name w:val="heading 3"/>
    <w:basedOn w:val="Normal"/>
    <w:link w:val="Heading3Char"/>
    <w:uiPriority w:val="9"/>
    <w:qFormat/>
    <w:rsid w:val="003B2A7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rsid w:val="00440CB2"/>
    <w:rPr>
      <w:color w:val="0563C1" w:themeColor="hyperlink"/>
      <w:u w:val="single"/>
    </w:rPr>
  </w:style>
  <w:style w:type="character" w:styleId="UnresolvedMention">
    <w:name w:val="Unresolved Mention"/>
    <w:basedOn w:val="DefaultParagraphFont"/>
    <w:uiPriority w:val="99"/>
    <w:semiHidden/>
    <w:unhideWhenUsed/>
    <w:rsid w:val="00440CB2"/>
    <w:rPr>
      <w:color w:val="605E5C"/>
      <w:shd w:val="clear" w:color="auto" w:fill="E1DFDD"/>
    </w:rPr>
  </w:style>
  <w:style w:type="character" w:customStyle="1" w:styleId="Heading3Char">
    <w:name w:val="Heading 3 Char"/>
    <w:basedOn w:val="DefaultParagraphFont"/>
    <w:link w:val="Heading3"/>
    <w:uiPriority w:val="9"/>
    <w:rsid w:val="003B2A72"/>
    <w:rPr>
      <w:rFonts w:ascii="Times New Roman" w:eastAsia="Times New Roman" w:hAnsi="Times New Roman" w:cs="Times New Roman"/>
      <w:b/>
      <w:bCs/>
      <w:kern w:val="0"/>
      <w:sz w:val="27"/>
      <w:szCs w:val="27"/>
      <w14:ligatures w14:val="none"/>
    </w:rPr>
  </w:style>
  <w:style w:type="paragraph" w:customStyle="1" w:styleId="pdq2pgselectionanchorcontainer">
    <w:name w:val="pdq2pg_selectionanchorcontainer"/>
    <w:basedOn w:val="Normal"/>
    <w:rsid w:val="00FA42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3175">
      <w:bodyDiv w:val="1"/>
      <w:marLeft w:val="0"/>
      <w:marRight w:val="0"/>
      <w:marTop w:val="0"/>
      <w:marBottom w:val="0"/>
      <w:divBdr>
        <w:top w:val="none" w:sz="0" w:space="0" w:color="auto"/>
        <w:left w:val="none" w:sz="0" w:space="0" w:color="auto"/>
        <w:bottom w:val="none" w:sz="0" w:space="0" w:color="auto"/>
        <w:right w:val="none" w:sz="0" w:space="0" w:color="auto"/>
      </w:divBdr>
    </w:div>
    <w:div w:id="113911111">
      <w:bodyDiv w:val="1"/>
      <w:marLeft w:val="0"/>
      <w:marRight w:val="0"/>
      <w:marTop w:val="0"/>
      <w:marBottom w:val="0"/>
      <w:divBdr>
        <w:top w:val="none" w:sz="0" w:space="0" w:color="auto"/>
        <w:left w:val="none" w:sz="0" w:space="0" w:color="auto"/>
        <w:bottom w:val="none" w:sz="0" w:space="0" w:color="auto"/>
        <w:right w:val="none" w:sz="0" w:space="0" w:color="auto"/>
      </w:divBdr>
      <w:divsChild>
        <w:div w:id="1803884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35803123">
      <w:bodyDiv w:val="1"/>
      <w:marLeft w:val="0"/>
      <w:marRight w:val="0"/>
      <w:marTop w:val="0"/>
      <w:marBottom w:val="0"/>
      <w:divBdr>
        <w:top w:val="none" w:sz="0" w:space="0" w:color="auto"/>
        <w:left w:val="none" w:sz="0" w:space="0" w:color="auto"/>
        <w:bottom w:val="none" w:sz="0" w:space="0" w:color="auto"/>
        <w:right w:val="none" w:sz="0" w:space="0" w:color="auto"/>
      </w:divBdr>
    </w:div>
    <w:div w:id="174076393">
      <w:bodyDiv w:val="1"/>
      <w:marLeft w:val="0"/>
      <w:marRight w:val="0"/>
      <w:marTop w:val="0"/>
      <w:marBottom w:val="0"/>
      <w:divBdr>
        <w:top w:val="none" w:sz="0" w:space="0" w:color="auto"/>
        <w:left w:val="none" w:sz="0" w:space="0" w:color="auto"/>
        <w:bottom w:val="none" w:sz="0" w:space="0" w:color="auto"/>
        <w:right w:val="none" w:sz="0" w:space="0" w:color="auto"/>
      </w:divBdr>
    </w:div>
    <w:div w:id="249706325">
      <w:bodyDiv w:val="1"/>
      <w:marLeft w:val="0"/>
      <w:marRight w:val="0"/>
      <w:marTop w:val="0"/>
      <w:marBottom w:val="0"/>
      <w:divBdr>
        <w:top w:val="none" w:sz="0" w:space="0" w:color="auto"/>
        <w:left w:val="none" w:sz="0" w:space="0" w:color="auto"/>
        <w:bottom w:val="none" w:sz="0" w:space="0" w:color="auto"/>
        <w:right w:val="none" w:sz="0" w:space="0" w:color="auto"/>
      </w:divBdr>
      <w:divsChild>
        <w:div w:id="915358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408480">
      <w:bodyDiv w:val="1"/>
      <w:marLeft w:val="0"/>
      <w:marRight w:val="0"/>
      <w:marTop w:val="0"/>
      <w:marBottom w:val="0"/>
      <w:divBdr>
        <w:top w:val="none" w:sz="0" w:space="0" w:color="auto"/>
        <w:left w:val="none" w:sz="0" w:space="0" w:color="auto"/>
        <w:bottom w:val="none" w:sz="0" w:space="0" w:color="auto"/>
        <w:right w:val="none" w:sz="0" w:space="0" w:color="auto"/>
      </w:divBdr>
    </w:div>
    <w:div w:id="482625079">
      <w:bodyDiv w:val="1"/>
      <w:marLeft w:val="0"/>
      <w:marRight w:val="0"/>
      <w:marTop w:val="0"/>
      <w:marBottom w:val="0"/>
      <w:divBdr>
        <w:top w:val="none" w:sz="0" w:space="0" w:color="auto"/>
        <w:left w:val="none" w:sz="0" w:space="0" w:color="auto"/>
        <w:bottom w:val="none" w:sz="0" w:space="0" w:color="auto"/>
        <w:right w:val="none" w:sz="0" w:space="0" w:color="auto"/>
      </w:divBdr>
      <w:divsChild>
        <w:div w:id="900872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0488722">
      <w:bodyDiv w:val="1"/>
      <w:marLeft w:val="0"/>
      <w:marRight w:val="0"/>
      <w:marTop w:val="0"/>
      <w:marBottom w:val="0"/>
      <w:divBdr>
        <w:top w:val="none" w:sz="0" w:space="0" w:color="auto"/>
        <w:left w:val="none" w:sz="0" w:space="0" w:color="auto"/>
        <w:bottom w:val="none" w:sz="0" w:space="0" w:color="auto"/>
        <w:right w:val="none" w:sz="0" w:space="0" w:color="auto"/>
      </w:divBdr>
      <w:divsChild>
        <w:div w:id="1431118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628011">
      <w:bodyDiv w:val="1"/>
      <w:marLeft w:val="0"/>
      <w:marRight w:val="0"/>
      <w:marTop w:val="0"/>
      <w:marBottom w:val="0"/>
      <w:divBdr>
        <w:top w:val="none" w:sz="0" w:space="0" w:color="auto"/>
        <w:left w:val="none" w:sz="0" w:space="0" w:color="auto"/>
        <w:bottom w:val="none" w:sz="0" w:space="0" w:color="auto"/>
        <w:right w:val="none" w:sz="0" w:space="0" w:color="auto"/>
      </w:divBdr>
    </w:div>
    <w:div w:id="761948712">
      <w:bodyDiv w:val="1"/>
      <w:marLeft w:val="0"/>
      <w:marRight w:val="0"/>
      <w:marTop w:val="0"/>
      <w:marBottom w:val="0"/>
      <w:divBdr>
        <w:top w:val="none" w:sz="0" w:space="0" w:color="auto"/>
        <w:left w:val="none" w:sz="0" w:space="0" w:color="auto"/>
        <w:bottom w:val="none" w:sz="0" w:space="0" w:color="auto"/>
        <w:right w:val="none" w:sz="0" w:space="0" w:color="auto"/>
      </w:divBdr>
    </w:div>
    <w:div w:id="771825595">
      <w:bodyDiv w:val="1"/>
      <w:marLeft w:val="0"/>
      <w:marRight w:val="0"/>
      <w:marTop w:val="0"/>
      <w:marBottom w:val="0"/>
      <w:divBdr>
        <w:top w:val="none" w:sz="0" w:space="0" w:color="auto"/>
        <w:left w:val="none" w:sz="0" w:space="0" w:color="auto"/>
        <w:bottom w:val="none" w:sz="0" w:space="0" w:color="auto"/>
        <w:right w:val="none" w:sz="0" w:space="0" w:color="auto"/>
      </w:divBdr>
    </w:div>
    <w:div w:id="929319234">
      <w:bodyDiv w:val="1"/>
      <w:marLeft w:val="0"/>
      <w:marRight w:val="0"/>
      <w:marTop w:val="0"/>
      <w:marBottom w:val="0"/>
      <w:divBdr>
        <w:top w:val="none" w:sz="0" w:space="0" w:color="auto"/>
        <w:left w:val="none" w:sz="0" w:space="0" w:color="auto"/>
        <w:bottom w:val="none" w:sz="0" w:space="0" w:color="auto"/>
        <w:right w:val="none" w:sz="0" w:space="0" w:color="auto"/>
      </w:divBdr>
    </w:div>
    <w:div w:id="982277346">
      <w:bodyDiv w:val="1"/>
      <w:marLeft w:val="0"/>
      <w:marRight w:val="0"/>
      <w:marTop w:val="0"/>
      <w:marBottom w:val="0"/>
      <w:divBdr>
        <w:top w:val="none" w:sz="0" w:space="0" w:color="auto"/>
        <w:left w:val="none" w:sz="0" w:space="0" w:color="auto"/>
        <w:bottom w:val="none" w:sz="0" w:space="0" w:color="auto"/>
        <w:right w:val="none" w:sz="0" w:space="0" w:color="auto"/>
      </w:divBdr>
      <w:divsChild>
        <w:div w:id="592323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8797242">
      <w:bodyDiv w:val="1"/>
      <w:marLeft w:val="0"/>
      <w:marRight w:val="0"/>
      <w:marTop w:val="0"/>
      <w:marBottom w:val="0"/>
      <w:divBdr>
        <w:top w:val="none" w:sz="0" w:space="0" w:color="auto"/>
        <w:left w:val="none" w:sz="0" w:space="0" w:color="auto"/>
        <w:bottom w:val="none" w:sz="0" w:space="0" w:color="auto"/>
        <w:right w:val="none" w:sz="0" w:space="0" w:color="auto"/>
      </w:divBdr>
      <w:divsChild>
        <w:div w:id="1233009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5803205">
      <w:bodyDiv w:val="1"/>
      <w:marLeft w:val="0"/>
      <w:marRight w:val="0"/>
      <w:marTop w:val="0"/>
      <w:marBottom w:val="0"/>
      <w:divBdr>
        <w:top w:val="none" w:sz="0" w:space="0" w:color="auto"/>
        <w:left w:val="none" w:sz="0" w:space="0" w:color="auto"/>
        <w:bottom w:val="none" w:sz="0" w:space="0" w:color="auto"/>
        <w:right w:val="none" w:sz="0" w:space="0" w:color="auto"/>
      </w:divBdr>
    </w:div>
    <w:div w:id="1117480021">
      <w:bodyDiv w:val="1"/>
      <w:marLeft w:val="0"/>
      <w:marRight w:val="0"/>
      <w:marTop w:val="0"/>
      <w:marBottom w:val="0"/>
      <w:divBdr>
        <w:top w:val="none" w:sz="0" w:space="0" w:color="auto"/>
        <w:left w:val="none" w:sz="0" w:space="0" w:color="auto"/>
        <w:bottom w:val="none" w:sz="0" w:space="0" w:color="auto"/>
        <w:right w:val="none" w:sz="0" w:space="0" w:color="auto"/>
      </w:divBdr>
      <w:divsChild>
        <w:div w:id="969432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652035">
      <w:bodyDiv w:val="1"/>
      <w:marLeft w:val="0"/>
      <w:marRight w:val="0"/>
      <w:marTop w:val="0"/>
      <w:marBottom w:val="0"/>
      <w:divBdr>
        <w:top w:val="none" w:sz="0" w:space="0" w:color="auto"/>
        <w:left w:val="none" w:sz="0" w:space="0" w:color="auto"/>
        <w:bottom w:val="none" w:sz="0" w:space="0" w:color="auto"/>
        <w:right w:val="none" w:sz="0" w:space="0" w:color="auto"/>
      </w:divBdr>
      <w:divsChild>
        <w:div w:id="1746686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185439099">
      <w:bodyDiv w:val="1"/>
      <w:marLeft w:val="0"/>
      <w:marRight w:val="0"/>
      <w:marTop w:val="0"/>
      <w:marBottom w:val="0"/>
      <w:divBdr>
        <w:top w:val="none" w:sz="0" w:space="0" w:color="auto"/>
        <w:left w:val="none" w:sz="0" w:space="0" w:color="auto"/>
        <w:bottom w:val="none" w:sz="0" w:space="0" w:color="auto"/>
        <w:right w:val="none" w:sz="0" w:space="0" w:color="auto"/>
      </w:divBdr>
    </w:div>
    <w:div w:id="1296257161">
      <w:bodyDiv w:val="1"/>
      <w:marLeft w:val="0"/>
      <w:marRight w:val="0"/>
      <w:marTop w:val="0"/>
      <w:marBottom w:val="0"/>
      <w:divBdr>
        <w:top w:val="none" w:sz="0" w:space="0" w:color="auto"/>
        <w:left w:val="none" w:sz="0" w:space="0" w:color="auto"/>
        <w:bottom w:val="none" w:sz="0" w:space="0" w:color="auto"/>
        <w:right w:val="none" w:sz="0" w:space="0" w:color="auto"/>
      </w:divBdr>
    </w:div>
    <w:div w:id="1349067007">
      <w:bodyDiv w:val="1"/>
      <w:marLeft w:val="0"/>
      <w:marRight w:val="0"/>
      <w:marTop w:val="0"/>
      <w:marBottom w:val="0"/>
      <w:divBdr>
        <w:top w:val="none" w:sz="0" w:space="0" w:color="auto"/>
        <w:left w:val="none" w:sz="0" w:space="0" w:color="auto"/>
        <w:bottom w:val="none" w:sz="0" w:space="0" w:color="auto"/>
        <w:right w:val="none" w:sz="0" w:space="0" w:color="auto"/>
      </w:divBdr>
    </w:div>
    <w:div w:id="1427188563">
      <w:bodyDiv w:val="1"/>
      <w:marLeft w:val="0"/>
      <w:marRight w:val="0"/>
      <w:marTop w:val="0"/>
      <w:marBottom w:val="0"/>
      <w:divBdr>
        <w:top w:val="none" w:sz="0" w:space="0" w:color="auto"/>
        <w:left w:val="none" w:sz="0" w:space="0" w:color="auto"/>
        <w:bottom w:val="none" w:sz="0" w:space="0" w:color="auto"/>
        <w:right w:val="none" w:sz="0" w:space="0" w:color="auto"/>
      </w:divBdr>
    </w:div>
    <w:div w:id="1723482492">
      <w:bodyDiv w:val="1"/>
      <w:marLeft w:val="0"/>
      <w:marRight w:val="0"/>
      <w:marTop w:val="0"/>
      <w:marBottom w:val="0"/>
      <w:divBdr>
        <w:top w:val="none" w:sz="0" w:space="0" w:color="auto"/>
        <w:left w:val="none" w:sz="0" w:space="0" w:color="auto"/>
        <w:bottom w:val="none" w:sz="0" w:space="0" w:color="auto"/>
        <w:right w:val="none" w:sz="0" w:space="0" w:color="auto"/>
      </w:divBdr>
      <w:divsChild>
        <w:div w:id="1739283925">
          <w:marLeft w:val="0"/>
          <w:marRight w:val="0"/>
          <w:marTop w:val="0"/>
          <w:marBottom w:val="0"/>
          <w:divBdr>
            <w:top w:val="none" w:sz="0" w:space="0" w:color="auto"/>
            <w:left w:val="none" w:sz="0" w:space="0" w:color="auto"/>
            <w:bottom w:val="none" w:sz="0" w:space="0" w:color="auto"/>
            <w:right w:val="none" w:sz="0" w:space="0" w:color="auto"/>
          </w:divBdr>
          <w:divsChild>
            <w:div w:id="568348146">
              <w:marLeft w:val="0"/>
              <w:marRight w:val="0"/>
              <w:marTop w:val="0"/>
              <w:marBottom w:val="0"/>
              <w:divBdr>
                <w:top w:val="none" w:sz="0" w:space="0" w:color="auto"/>
                <w:left w:val="none" w:sz="0" w:space="0" w:color="auto"/>
                <w:bottom w:val="none" w:sz="0" w:space="0" w:color="auto"/>
                <w:right w:val="none" w:sz="0" w:space="0" w:color="auto"/>
              </w:divBdr>
              <w:divsChild>
                <w:div w:id="1382290758">
                  <w:marLeft w:val="0"/>
                  <w:marRight w:val="0"/>
                  <w:marTop w:val="0"/>
                  <w:marBottom w:val="0"/>
                  <w:divBdr>
                    <w:top w:val="none" w:sz="0" w:space="0" w:color="auto"/>
                    <w:left w:val="none" w:sz="0" w:space="0" w:color="auto"/>
                    <w:bottom w:val="none" w:sz="0" w:space="0" w:color="auto"/>
                    <w:right w:val="none" w:sz="0" w:space="0" w:color="auto"/>
                  </w:divBdr>
                  <w:divsChild>
                    <w:div w:id="1066683933">
                      <w:marLeft w:val="0"/>
                      <w:marRight w:val="0"/>
                      <w:marTop w:val="0"/>
                      <w:marBottom w:val="0"/>
                      <w:divBdr>
                        <w:top w:val="none" w:sz="0" w:space="0" w:color="auto"/>
                        <w:left w:val="none" w:sz="0" w:space="0" w:color="auto"/>
                        <w:bottom w:val="none" w:sz="0" w:space="0" w:color="auto"/>
                        <w:right w:val="none" w:sz="0" w:space="0" w:color="auto"/>
                      </w:divBdr>
                      <w:divsChild>
                        <w:div w:id="1650287571">
                          <w:marLeft w:val="0"/>
                          <w:marRight w:val="0"/>
                          <w:marTop w:val="0"/>
                          <w:marBottom w:val="0"/>
                          <w:divBdr>
                            <w:top w:val="none" w:sz="0" w:space="0" w:color="auto"/>
                            <w:left w:val="none" w:sz="0" w:space="0" w:color="auto"/>
                            <w:bottom w:val="none" w:sz="0" w:space="0" w:color="auto"/>
                            <w:right w:val="none" w:sz="0" w:space="0" w:color="auto"/>
                          </w:divBdr>
                          <w:divsChild>
                            <w:div w:id="2068995424">
                              <w:marLeft w:val="0"/>
                              <w:marRight w:val="0"/>
                              <w:marTop w:val="0"/>
                              <w:marBottom w:val="0"/>
                              <w:divBdr>
                                <w:top w:val="none" w:sz="0" w:space="0" w:color="auto"/>
                                <w:left w:val="none" w:sz="0" w:space="0" w:color="auto"/>
                                <w:bottom w:val="none" w:sz="0" w:space="0" w:color="auto"/>
                                <w:right w:val="none" w:sz="0" w:space="0" w:color="auto"/>
                              </w:divBdr>
                              <w:divsChild>
                                <w:div w:id="2012680863">
                                  <w:marLeft w:val="0"/>
                                  <w:marRight w:val="0"/>
                                  <w:marTop w:val="0"/>
                                  <w:marBottom w:val="0"/>
                                  <w:divBdr>
                                    <w:top w:val="none" w:sz="0" w:space="0" w:color="auto"/>
                                    <w:left w:val="none" w:sz="0" w:space="0" w:color="auto"/>
                                    <w:bottom w:val="none" w:sz="0" w:space="0" w:color="auto"/>
                                    <w:right w:val="none" w:sz="0" w:space="0" w:color="auto"/>
                                  </w:divBdr>
                                  <w:divsChild>
                                    <w:div w:id="1721779722">
                                      <w:marLeft w:val="0"/>
                                      <w:marRight w:val="0"/>
                                      <w:marTop w:val="0"/>
                                      <w:marBottom w:val="0"/>
                                      <w:divBdr>
                                        <w:top w:val="none" w:sz="0" w:space="0" w:color="auto"/>
                                        <w:left w:val="none" w:sz="0" w:space="0" w:color="auto"/>
                                        <w:bottom w:val="none" w:sz="0" w:space="0" w:color="auto"/>
                                        <w:right w:val="none" w:sz="0" w:space="0" w:color="auto"/>
                                      </w:divBdr>
                                      <w:divsChild>
                                        <w:div w:id="1336303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
    <w:div w:id="1905289342">
      <w:bodyDiv w:val="1"/>
      <w:marLeft w:val="0"/>
      <w:marRight w:val="0"/>
      <w:marTop w:val="0"/>
      <w:marBottom w:val="0"/>
      <w:divBdr>
        <w:top w:val="none" w:sz="0" w:space="0" w:color="auto"/>
        <w:left w:val="none" w:sz="0" w:space="0" w:color="auto"/>
        <w:bottom w:val="none" w:sz="0" w:space="0" w:color="auto"/>
        <w:right w:val="none" w:sz="0" w:space="0" w:color="auto"/>
      </w:divBdr>
    </w:div>
    <w:div w:id="1946113070">
      <w:bodyDiv w:val="1"/>
      <w:marLeft w:val="0"/>
      <w:marRight w:val="0"/>
      <w:marTop w:val="0"/>
      <w:marBottom w:val="0"/>
      <w:divBdr>
        <w:top w:val="none" w:sz="0" w:space="0" w:color="auto"/>
        <w:left w:val="none" w:sz="0" w:space="0" w:color="auto"/>
        <w:bottom w:val="none" w:sz="0" w:space="0" w:color="auto"/>
        <w:right w:val="none" w:sz="0" w:space="0" w:color="auto"/>
      </w:divBdr>
      <w:divsChild>
        <w:div w:id="1685743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 w:id="212731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ara.2021.10034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13</cp:revision>
  <dcterms:created xsi:type="dcterms:W3CDTF">2026-06-23T19:03:00Z</dcterms:created>
  <dcterms:modified xsi:type="dcterms:W3CDTF">2026-08-20T08:42:00Z</dcterms:modified>
</cp:coreProperties>
</file>