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044D4" w14:textId="77777777" w:rsidR="00864685" w:rsidRPr="00864685" w:rsidRDefault="00864685" w:rsidP="00864685">
      <w:pPr>
        <w:spacing w:after="0" w:line="360" w:lineRule="auto"/>
        <w:jc w:val="center"/>
        <w:rPr>
          <w:rFonts w:ascii="Sylfaen" w:hAnsi="Sylfaen"/>
          <w:b/>
          <w:bCs/>
          <w:sz w:val="24"/>
          <w:szCs w:val="24"/>
          <w:lang w:val="en-GB"/>
        </w:rPr>
      </w:pPr>
      <w:r w:rsidRPr="00864685">
        <w:rPr>
          <w:rFonts w:ascii="Sylfaen" w:hAnsi="Sylfaen"/>
          <w:b/>
          <w:bCs/>
          <w:sz w:val="24"/>
          <w:szCs w:val="24"/>
          <w:lang w:val="en-GB"/>
        </w:rPr>
        <w:t>Passport of Archaeological Monument</w:t>
      </w:r>
    </w:p>
    <w:p w14:paraId="6B3D3DCC" w14:textId="77777777" w:rsidR="00864685" w:rsidRPr="00864685" w:rsidRDefault="00864685" w:rsidP="00864685">
      <w:pPr>
        <w:spacing w:after="0" w:line="360" w:lineRule="auto"/>
        <w:jc w:val="center"/>
        <w:rPr>
          <w:rFonts w:ascii="Sylfaen" w:hAnsi="Sylfaen"/>
          <w:b/>
          <w:bCs/>
          <w:sz w:val="24"/>
          <w:szCs w:val="24"/>
          <w:lang w:val="en-GB"/>
        </w:rPr>
      </w:pPr>
    </w:p>
    <w:p w14:paraId="2778B193" w14:textId="77777777" w:rsidR="00864685" w:rsidRPr="00C61E1D" w:rsidRDefault="00864685" w:rsidP="00864685">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Name of archaeological site</w:t>
      </w:r>
      <w:r w:rsidRPr="00864685">
        <w:rPr>
          <w:rFonts w:ascii="Sylfaen" w:hAnsi="Sylfaen"/>
          <w:sz w:val="24"/>
          <w:szCs w:val="24"/>
          <w:lang w:val="en-GB"/>
        </w:rPr>
        <w:t xml:space="preserve">: </w:t>
      </w:r>
      <w:r w:rsidR="00C61E1D">
        <w:rPr>
          <w:rFonts w:ascii="Sylfaen" w:hAnsi="Sylfaen"/>
          <w:sz w:val="24"/>
          <w:szCs w:val="24"/>
          <w:lang w:val="en-US"/>
        </w:rPr>
        <w:t xml:space="preserve">Pichvnari Dune Settlement </w:t>
      </w:r>
    </w:p>
    <w:p w14:paraId="5C410E9F" w14:textId="77777777" w:rsidR="00864685" w:rsidRPr="00864685" w:rsidRDefault="00864685" w:rsidP="00864685">
      <w:pPr>
        <w:tabs>
          <w:tab w:val="left" w:pos="360"/>
        </w:tabs>
        <w:spacing w:after="0" w:line="360" w:lineRule="auto"/>
        <w:ind w:firstLine="720"/>
        <w:jc w:val="both"/>
        <w:rPr>
          <w:rFonts w:ascii="Sylfaen" w:hAnsi="Sylfaen"/>
          <w:sz w:val="24"/>
          <w:szCs w:val="24"/>
          <w:lang w:val="en-GB"/>
        </w:rPr>
      </w:pPr>
      <w:r w:rsidRPr="00864685">
        <w:rPr>
          <w:rFonts w:ascii="Sylfaen" w:hAnsi="Sylfaen"/>
          <w:b/>
          <w:bCs/>
          <w:sz w:val="24"/>
          <w:szCs w:val="24"/>
          <w:lang w:val="en-GB"/>
        </w:rPr>
        <w:t>Type of archaeological site:</w:t>
      </w:r>
      <w:r w:rsidRPr="00864685">
        <w:rPr>
          <w:rFonts w:ascii="Sylfaen" w:hAnsi="Sylfaen"/>
          <w:sz w:val="24"/>
          <w:szCs w:val="24"/>
          <w:lang w:val="en-GB"/>
        </w:rPr>
        <w:t xml:space="preserve"> </w:t>
      </w:r>
      <w:r w:rsidR="00C61E1D">
        <w:rPr>
          <w:rFonts w:ascii="Sylfaen" w:hAnsi="Sylfaen"/>
          <w:sz w:val="24"/>
          <w:szCs w:val="24"/>
          <w:lang w:val="en-US"/>
        </w:rPr>
        <w:t>Settlement</w:t>
      </w:r>
    </w:p>
    <w:p w14:paraId="46DAC8C5" w14:textId="77777777" w:rsidR="00864685" w:rsidRPr="00C61E1D" w:rsidRDefault="00864685" w:rsidP="00864685">
      <w:pPr>
        <w:tabs>
          <w:tab w:val="left" w:pos="360"/>
        </w:tabs>
        <w:spacing w:after="0" w:line="360" w:lineRule="auto"/>
        <w:ind w:firstLine="720"/>
        <w:jc w:val="both"/>
        <w:rPr>
          <w:rFonts w:ascii="Sylfaen" w:hAnsi="Sylfaen"/>
          <w:sz w:val="24"/>
          <w:szCs w:val="24"/>
          <w:lang w:val="ka-GE"/>
        </w:rPr>
      </w:pPr>
      <w:r w:rsidRPr="00864685">
        <w:rPr>
          <w:rFonts w:ascii="Sylfaen" w:hAnsi="Sylfaen"/>
          <w:b/>
          <w:bCs/>
          <w:sz w:val="24"/>
          <w:szCs w:val="24"/>
          <w:lang w:val="en-GB"/>
        </w:rPr>
        <w:t>Chronological attribution (historical era, exact date)</w:t>
      </w:r>
      <w:r w:rsidRPr="00864685">
        <w:rPr>
          <w:rFonts w:ascii="Sylfaen" w:hAnsi="Sylfaen"/>
          <w:sz w:val="24"/>
          <w:szCs w:val="24"/>
          <w:lang w:val="en-GB"/>
        </w:rPr>
        <w:t xml:space="preserve"> </w:t>
      </w:r>
      <w:r w:rsidR="00C61E1D">
        <w:rPr>
          <w:rFonts w:ascii="Sylfaen" w:hAnsi="Sylfaen"/>
          <w:sz w:val="24"/>
          <w:szCs w:val="24"/>
          <w:lang w:val="ka-GE"/>
        </w:rPr>
        <w:t xml:space="preserve">- </w:t>
      </w:r>
      <w:r w:rsidR="00C61E1D" w:rsidRPr="00C61E1D">
        <w:rPr>
          <w:rFonts w:ascii="Sylfaen" w:hAnsi="Sylfaen"/>
          <w:sz w:val="24"/>
          <w:szCs w:val="24"/>
          <w:lang w:val="ka-GE"/>
        </w:rPr>
        <w:t>Late Bronze-</w:t>
      </w:r>
      <w:r w:rsidR="00C61E1D">
        <w:rPr>
          <w:rFonts w:ascii="Sylfaen" w:hAnsi="Sylfaen"/>
          <w:sz w:val="24"/>
          <w:szCs w:val="24"/>
          <w:lang w:val="en-US"/>
        </w:rPr>
        <w:t>Early</w:t>
      </w:r>
      <w:r w:rsidR="00C61E1D" w:rsidRPr="00C61E1D">
        <w:rPr>
          <w:rFonts w:ascii="Sylfaen" w:hAnsi="Sylfaen"/>
          <w:sz w:val="24"/>
          <w:szCs w:val="24"/>
          <w:lang w:val="ka-GE"/>
        </w:rPr>
        <w:t xml:space="preserve"> Iron Age, 2nd</w:t>
      </w:r>
      <w:r w:rsidR="00C61E1D">
        <w:rPr>
          <w:rFonts w:ascii="Sylfaen" w:hAnsi="Sylfaen"/>
          <w:sz w:val="24"/>
          <w:szCs w:val="24"/>
          <w:lang w:val="en-US"/>
        </w:rPr>
        <w:t xml:space="preserve"> </w:t>
      </w:r>
      <w:r w:rsidR="00C61E1D" w:rsidRPr="00C61E1D">
        <w:rPr>
          <w:rFonts w:ascii="Sylfaen" w:hAnsi="Sylfaen"/>
          <w:sz w:val="24"/>
          <w:szCs w:val="24"/>
          <w:lang w:val="ka-GE"/>
        </w:rPr>
        <w:t>millennium BC - 1st half of 1st millennium BC</w:t>
      </w:r>
    </w:p>
    <w:p w14:paraId="525513B1" w14:textId="4850A4F6" w:rsidR="00864685" w:rsidRPr="00293885" w:rsidRDefault="00864685" w:rsidP="00864685">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Address (municipality, city, village, valley, GPS Coordinates)</w:t>
      </w:r>
      <w:r w:rsidRPr="00864685">
        <w:rPr>
          <w:rFonts w:ascii="Sylfaen" w:hAnsi="Sylfaen"/>
          <w:sz w:val="24"/>
          <w:szCs w:val="24"/>
          <w:lang w:val="en-GB"/>
        </w:rPr>
        <w:t xml:space="preserve"> - </w:t>
      </w:r>
      <w:r w:rsidR="00C61E1D" w:rsidRPr="00C61E1D">
        <w:rPr>
          <w:rFonts w:ascii="Sylfaen" w:hAnsi="Sylfaen"/>
          <w:sz w:val="24"/>
          <w:szCs w:val="24"/>
          <w:lang w:val="en-GB"/>
        </w:rPr>
        <w:t xml:space="preserve">Georgia, Kobuleti Municipality, Kobuleti, </w:t>
      </w:r>
      <w:r w:rsidR="00C61E1D">
        <w:rPr>
          <w:rFonts w:ascii="Sylfaen" w:hAnsi="Sylfaen"/>
          <w:sz w:val="24"/>
          <w:szCs w:val="24"/>
          <w:lang w:val="en-GB"/>
        </w:rPr>
        <w:t>Pichvnari</w:t>
      </w:r>
      <w:r w:rsidR="00293885">
        <w:rPr>
          <w:rFonts w:ascii="Sylfaen" w:hAnsi="Sylfaen"/>
          <w:sz w:val="24"/>
          <w:szCs w:val="24"/>
          <w:lang w:val="en-GB"/>
        </w:rPr>
        <w:t xml:space="preserve">, </w:t>
      </w:r>
      <w:r w:rsidR="00293885" w:rsidRPr="00293885">
        <w:rPr>
          <w:rFonts w:ascii="Sylfaen" w:hAnsi="Sylfaen"/>
          <w:sz w:val="24"/>
          <w:szCs w:val="24"/>
          <w:lang w:val="en-US"/>
        </w:rPr>
        <w:t>41˚53"527'' N 41˚46'851' E</w:t>
      </w:r>
    </w:p>
    <w:p w14:paraId="24E15D3F" w14:textId="77777777" w:rsidR="00864685" w:rsidRPr="00864685" w:rsidRDefault="00864685" w:rsidP="00593C8C">
      <w:pPr>
        <w:spacing w:after="0" w:line="360" w:lineRule="auto"/>
        <w:ind w:firstLine="720"/>
        <w:jc w:val="both"/>
        <w:rPr>
          <w:rFonts w:ascii="Sylfaen" w:hAnsi="Sylfaen"/>
          <w:b/>
          <w:bCs/>
          <w:sz w:val="24"/>
          <w:szCs w:val="24"/>
          <w:lang w:val="en-GB"/>
        </w:rPr>
      </w:pPr>
      <w:r w:rsidRPr="00864685">
        <w:rPr>
          <w:rFonts w:ascii="Sylfaen" w:hAnsi="Sylfaen"/>
          <w:b/>
          <w:bCs/>
          <w:sz w:val="24"/>
          <w:szCs w:val="24"/>
          <w:lang w:val="en-GB"/>
        </w:rPr>
        <w:t>History of study/research (circumstances of discovery, studies conducted on the monument, researchers working on the monument, bibliography):</w:t>
      </w:r>
    </w:p>
    <w:p w14:paraId="74C2FB99" w14:textId="77777777" w:rsidR="00593C8C" w:rsidRDefault="00C61E1D" w:rsidP="00593C8C">
      <w:pPr>
        <w:pStyle w:val="NormalWeb"/>
        <w:spacing w:before="0" w:beforeAutospacing="0" w:after="0" w:afterAutospacing="0" w:line="360" w:lineRule="auto"/>
        <w:ind w:firstLine="720"/>
        <w:jc w:val="both"/>
        <w:rPr>
          <w:rFonts w:ascii="Sylfaen" w:hAnsi="Sylfaen"/>
          <w:color w:val="000000"/>
        </w:rPr>
      </w:pPr>
      <w:r w:rsidRPr="00C61E1D">
        <w:rPr>
          <w:rFonts w:ascii="Sylfaen" w:hAnsi="Sylfaen"/>
          <w:b/>
          <w:bCs/>
          <w:color w:val="000000"/>
        </w:rPr>
        <w:t>Circumstances of the discovery</w:t>
      </w:r>
      <w:r w:rsidRPr="00C61E1D">
        <w:rPr>
          <w:rFonts w:ascii="Sylfaen" w:hAnsi="Sylfaen"/>
          <w:color w:val="000000"/>
        </w:rPr>
        <w:t xml:space="preserve">: In 1953, the archaeological expedition of the Institute of History named after academician Ivane Javakhishvili, led by </w:t>
      </w:r>
      <w:r w:rsidRPr="00293885">
        <w:rPr>
          <w:rFonts w:ascii="Sylfaen" w:hAnsi="Sylfaen"/>
          <w:b/>
          <w:bCs/>
          <w:color w:val="EE0000"/>
        </w:rPr>
        <w:t>Nino Khoshtaria</w:t>
      </w:r>
      <w:r w:rsidRPr="00C61E1D">
        <w:rPr>
          <w:rFonts w:ascii="Sylfaen" w:hAnsi="Sylfaen"/>
          <w:color w:val="000000"/>
        </w:rPr>
        <w:t xml:space="preserve">, began working in the Kobuleti </w:t>
      </w:r>
      <w:r w:rsidR="00147B24">
        <w:rPr>
          <w:rFonts w:ascii="Sylfaen" w:hAnsi="Sylfaen"/>
          <w:color w:val="000000"/>
        </w:rPr>
        <w:t>Pichvnari</w:t>
      </w:r>
      <w:r w:rsidRPr="00C61E1D">
        <w:rPr>
          <w:rFonts w:ascii="Sylfaen" w:hAnsi="Sylfaen"/>
          <w:color w:val="000000"/>
        </w:rPr>
        <w:t xml:space="preserve">. In parallel with the excavations at the "Napurvala" and "Namcheduri" sites, the expedition also carried out extensive reconnaissance work in the villages of Pichvnari and Kobuleti municipalities in order to identify new monuments. During the reconnaissance, the expedition traced sand dunes (dune stand) in </w:t>
      </w:r>
      <w:r w:rsidR="00147B24">
        <w:rPr>
          <w:rFonts w:ascii="Sylfaen" w:hAnsi="Sylfaen"/>
          <w:color w:val="000000"/>
        </w:rPr>
        <w:t>Pichvnari</w:t>
      </w:r>
      <w:r w:rsidRPr="00C61E1D">
        <w:rPr>
          <w:rFonts w:ascii="Sylfaen" w:hAnsi="Sylfaen"/>
          <w:color w:val="000000"/>
        </w:rPr>
        <w:t>, collected archaeological material on the surface. The surface research of the territory continued in 1956.</w:t>
      </w:r>
    </w:p>
    <w:p w14:paraId="773B01E2" w14:textId="77777777" w:rsidR="00147B24" w:rsidRDefault="00147B24" w:rsidP="00593C8C">
      <w:pPr>
        <w:pStyle w:val="NormalWeb"/>
        <w:spacing w:before="0" w:beforeAutospacing="0" w:after="0" w:afterAutospacing="0" w:line="360" w:lineRule="auto"/>
        <w:ind w:firstLine="720"/>
        <w:jc w:val="both"/>
        <w:rPr>
          <w:rFonts w:ascii="Sylfaen" w:hAnsi="Sylfaen"/>
          <w:color w:val="000000"/>
        </w:rPr>
      </w:pPr>
      <w:r w:rsidRPr="00147B24">
        <w:rPr>
          <w:rFonts w:ascii="Sylfaen" w:hAnsi="Sylfaen"/>
          <w:b/>
          <w:bCs/>
          <w:color w:val="000000"/>
        </w:rPr>
        <w:t>Research conducted on the monument</w:t>
      </w:r>
      <w:r w:rsidRPr="00147B24">
        <w:rPr>
          <w:rFonts w:ascii="Sylfaen" w:hAnsi="Sylfaen"/>
          <w:color w:val="000000"/>
        </w:rPr>
        <w:t xml:space="preserve">: From 1961 to 1967, archaeological excavations were organized annually to study the dune stands of the pine forest. An area of </w:t>
      </w:r>
      <w:r w:rsidRPr="00147B24">
        <w:rPr>
          <w:color w:val="000000"/>
        </w:rPr>
        <w:t>​​</w:t>
      </w:r>
      <w:r w:rsidRPr="00147B24">
        <w:rPr>
          <w:rFonts w:ascii="Sylfaen" w:hAnsi="Sylfaen"/>
          <w:color w:val="000000"/>
        </w:rPr>
        <w:t>1800 m</w:t>
      </w:r>
      <w:r w:rsidRPr="00147B24">
        <w:rPr>
          <w:rFonts w:ascii="Sylfaen" w:hAnsi="Sylfaen"/>
          <w:color w:val="000000"/>
          <w:vertAlign w:val="superscript"/>
        </w:rPr>
        <w:t>2</w:t>
      </w:r>
      <w:r w:rsidRPr="00147B24">
        <w:rPr>
          <w:rFonts w:ascii="Sylfaen" w:hAnsi="Sylfaen"/>
          <w:color w:val="000000"/>
        </w:rPr>
        <w:t xml:space="preserve"> was studied. The monument was investigated by </w:t>
      </w:r>
      <w:r w:rsidRPr="00293885">
        <w:rPr>
          <w:rFonts w:ascii="Sylfaen" w:hAnsi="Sylfaen"/>
          <w:b/>
          <w:bCs/>
          <w:color w:val="EE0000"/>
        </w:rPr>
        <w:t>Aleksandre Ramishvili</w:t>
      </w:r>
      <w:r w:rsidRPr="00147B24">
        <w:rPr>
          <w:rFonts w:ascii="Sylfaen" w:hAnsi="Sylfaen"/>
          <w:color w:val="000000"/>
        </w:rPr>
        <w:t xml:space="preserve">. </w:t>
      </w:r>
    </w:p>
    <w:p w14:paraId="2DC42B1F" w14:textId="0C1E1555" w:rsidR="00147B24" w:rsidRDefault="00147B24" w:rsidP="00593C8C">
      <w:pPr>
        <w:pStyle w:val="NormalWeb"/>
        <w:spacing w:before="0" w:beforeAutospacing="0" w:after="0" w:afterAutospacing="0" w:line="360" w:lineRule="auto"/>
        <w:ind w:firstLine="720"/>
        <w:jc w:val="both"/>
        <w:rPr>
          <w:rFonts w:ascii="Sylfaen" w:hAnsi="Sylfaen"/>
          <w:color w:val="000000"/>
        </w:rPr>
      </w:pPr>
      <w:r w:rsidRPr="00147B24">
        <w:rPr>
          <w:rFonts w:ascii="Sylfaen" w:hAnsi="Sylfaen"/>
          <w:color w:val="000000"/>
        </w:rPr>
        <w:t xml:space="preserve">Archaeological excavations at the monument were also conducted in 2010. The works were carried out in a force majeure situation. In particular, before the start of the works, an area of </w:t>
      </w:r>
      <w:r w:rsidRPr="00147B24">
        <w:rPr>
          <w:color w:val="000000"/>
        </w:rPr>
        <w:t>​​</w:t>
      </w:r>
      <w:r w:rsidRPr="00147B24">
        <w:rPr>
          <w:rFonts w:ascii="Sylfaen" w:hAnsi="Sylfaen"/>
          <w:color w:val="000000"/>
        </w:rPr>
        <w:t>20,000 m</w:t>
      </w:r>
      <w:r w:rsidRPr="00147B24">
        <w:rPr>
          <w:rFonts w:ascii="Sylfaen" w:hAnsi="Sylfaen"/>
          <w:color w:val="000000"/>
          <w:vertAlign w:val="superscript"/>
        </w:rPr>
        <w:t>2</w:t>
      </w:r>
      <w:r w:rsidRPr="00147B24">
        <w:rPr>
          <w:rFonts w:ascii="Sylfaen" w:hAnsi="Sylfaen"/>
          <w:color w:val="000000"/>
        </w:rPr>
        <w:t xml:space="preserve"> of the territory was leveled using heavy machinery for the purpose of arranging hotels and relevant infrastructure. In unfavorable conditions for archaeological excavations (November-December), the employees of the Batumi Archaeological Museum (currently the </w:t>
      </w:r>
      <w:r w:rsidRPr="00293885">
        <w:rPr>
          <w:rFonts w:ascii="Sylfaen" w:hAnsi="Sylfaen"/>
        </w:rPr>
        <w:t xml:space="preserve">Amiran Kakhidze </w:t>
      </w:r>
      <w:r w:rsidRPr="00147B24">
        <w:rPr>
          <w:rFonts w:ascii="Sylfaen" w:hAnsi="Sylfaen"/>
          <w:color w:val="000000"/>
        </w:rPr>
        <w:t xml:space="preserve">Ajara Archaeological Museum of the LEPL Ajara Museum) (head - </w:t>
      </w:r>
      <w:r w:rsidRPr="00293885">
        <w:rPr>
          <w:rFonts w:ascii="Sylfaen" w:hAnsi="Sylfaen"/>
          <w:b/>
          <w:bCs/>
          <w:color w:val="EE0000"/>
        </w:rPr>
        <w:t>Amiran Kakhidze</w:t>
      </w:r>
      <w:r w:rsidRPr="00147B24">
        <w:rPr>
          <w:rFonts w:ascii="Sylfaen" w:hAnsi="Sylfaen"/>
          <w:color w:val="000000"/>
        </w:rPr>
        <w:t xml:space="preserve">, members: </w:t>
      </w:r>
      <w:r w:rsidRPr="00293885">
        <w:rPr>
          <w:rFonts w:ascii="Sylfaen" w:hAnsi="Sylfaen"/>
          <w:b/>
          <w:bCs/>
          <w:color w:val="EE0000"/>
        </w:rPr>
        <w:t>Shota Mamuladze</w:t>
      </w:r>
      <w:r w:rsidRPr="00293885">
        <w:rPr>
          <w:rFonts w:ascii="Sylfaen" w:hAnsi="Sylfaen"/>
          <w:color w:val="000000"/>
        </w:rPr>
        <w:t>,</w:t>
      </w:r>
      <w:r w:rsidRPr="00147B24">
        <w:rPr>
          <w:rFonts w:ascii="Sylfaen" w:hAnsi="Sylfaen"/>
          <w:b/>
          <w:bCs/>
          <w:color w:val="000000"/>
        </w:rPr>
        <w:t xml:space="preserve"> </w:t>
      </w:r>
      <w:r w:rsidRPr="00293885">
        <w:rPr>
          <w:rFonts w:ascii="Sylfaen" w:hAnsi="Sylfaen"/>
          <w:b/>
          <w:bCs/>
          <w:color w:val="EE0000"/>
        </w:rPr>
        <w:t>Irakli Chavleishvili</w:t>
      </w:r>
      <w:r w:rsidRPr="00147B24">
        <w:rPr>
          <w:rFonts w:ascii="Sylfaen" w:hAnsi="Sylfaen"/>
          <w:color w:val="000000"/>
        </w:rPr>
        <w:t xml:space="preserve">, </w:t>
      </w:r>
      <w:r w:rsidRPr="00293885">
        <w:rPr>
          <w:rFonts w:ascii="Sylfaen" w:hAnsi="Sylfaen"/>
          <w:b/>
          <w:bCs/>
          <w:color w:val="EE0000"/>
        </w:rPr>
        <w:t xml:space="preserve">Giorgi </w:t>
      </w:r>
      <w:r w:rsidRPr="00293885">
        <w:rPr>
          <w:rFonts w:ascii="Sylfaen" w:hAnsi="Sylfaen"/>
          <w:b/>
          <w:bCs/>
          <w:color w:val="EE0000"/>
        </w:rPr>
        <w:lastRenderedPageBreak/>
        <w:t>Tavamaishvili</w:t>
      </w:r>
      <w:r w:rsidRPr="00147B24">
        <w:rPr>
          <w:rFonts w:ascii="Sylfaen" w:hAnsi="Sylfaen"/>
          <w:b/>
          <w:bCs/>
          <w:color w:val="000000"/>
        </w:rPr>
        <w:t xml:space="preserve">, </w:t>
      </w:r>
      <w:r w:rsidRPr="00293885">
        <w:rPr>
          <w:rFonts w:ascii="Sylfaen" w:hAnsi="Sylfaen"/>
          <w:b/>
          <w:bCs/>
          <w:color w:val="EE0000"/>
        </w:rPr>
        <w:t>Anzor Javelidze</w:t>
      </w:r>
      <w:r w:rsidRPr="00147B24">
        <w:rPr>
          <w:rFonts w:ascii="Sylfaen" w:hAnsi="Sylfaen"/>
          <w:b/>
          <w:bCs/>
          <w:color w:val="000000"/>
        </w:rPr>
        <w:t xml:space="preserve">, </w:t>
      </w:r>
      <w:r w:rsidRPr="00293885">
        <w:rPr>
          <w:rFonts w:ascii="Sylfaen" w:hAnsi="Sylfaen"/>
          <w:b/>
          <w:bCs/>
          <w:color w:val="EE0000"/>
        </w:rPr>
        <w:t>Nargiz Surmanidze</w:t>
      </w:r>
      <w:r w:rsidRPr="00147B24">
        <w:rPr>
          <w:rFonts w:ascii="Sylfaen" w:hAnsi="Sylfaen"/>
          <w:b/>
          <w:bCs/>
          <w:color w:val="000000"/>
        </w:rPr>
        <w:t xml:space="preserve">, </w:t>
      </w:r>
      <w:r w:rsidRPr="00293885">
        <w:rPr>
          <w:rFonts w:ascii="Sylfaen" w:hAnsi="Sylfaen"/>
          <w:b/>
          <w:bCs/>
          <w:color w:val="EE0000"/>
        </w:rPr>
        <w:t>Nino Dzneladze</w:t>
      </w:r>
      <w:r w:rsidRPr="00147B24">
        <w:rPr>
          <w:rFonts w:ascii="Sylfaen" w:hAnsi="Sylfaen"/>
          <w:b/>
          <w:bCs/>
          <w:color w:val="000000"/>
        </w:rPr>
        <w:t xml:space="preserve">, </w:t>
      </w:r>
      <w:r w:rsidRPr="00293885">
        <w:rPr>
          <w:rFonts w:ascii="Sylfaen" w:hAnsi="Sylfaen"/>
          <w:b/>
          <w:bCs/>
          <w:color w:val="EE0000"/>
        </w:rPr>
        <w:t>Merab Khalvashi</w:t>
      </w:r>
      <w:r w:rsidRPr="00147B24">
        <w:rPr>
          <w:rFonts w:ascii="Sylfaen" w:hAnsi="Sylfaen"/>
          <w:b/>
          <w:bCs/>
          <w:color w:val="000000"/>
        </w:rPr>
        <w:t xml:space="preserve">, </w:t>
      </w:r>
      <w:r w:rsidRPr="00293885">
        <w:rPr>
          <w:rFonts w:ascii="Sylfaen" w:hAnsi="Sylfaen"/>
          <w:b/>
          <w:bCs/>
          <w:color w:val="EE0000"/>
        </w:rPr>
        <w:t>Miranda Turmanidze</w:t>
      </w:r>
      <w:r w:rsidRPr="00147B24">
        <w:rPr>
          <w:rFonts w:ascii="Sylfaen" w:hAnsi="Sylfaen"/>
          <w:b/>
          <w:bCs/>
          <w:color w:val="000000"/>
        </w:rPr>
        <w:t xml:space="preserve">, </w:t>
      </w:r>
      <w:r w:rsidRPr="00293885">
        <w:rPr>
          <w:rFonts w:ascii="Sylfaen" w:hAnsi="Sylfaen"/>
          <w:b/>
          <w:bCs/>
          <w:color w:val="EE0000"/>
        </w:rPr>
        <w:t>Givi Nakhutsrishvili</w:t>
      </w:r>
      <w:r w:rsidRPr="00147B24">
        <w:rPr>
          <w:rFonts w:ascii="Sylfaen" w:hAnsi="Sylfaen"/>
          <w:b/>
          <w:bCs/>
          <w:color w:val="000000"/>
        </w:rPr>
        <w:t xml:space="preserve">, </w:t>
      </w:r>
      <w:r w:rsidRPr="00293885">
        <w:rPr>
          <w:rFonts w:ascii="Sylfaen" w:hAnsi="Sylfaen"/>
          <w:b/>
          <w:bCs/>
          <w:color w:val="EE0000"/>
        </w:rPr>
        <w:t>Sulkhan Okropiridze</w:t>
      </w:r>
      <w:r w:rsidRPr="00147B24">
        <w:rPr>
          <w:rFonts w:ascii="Sylfaen" w:hAnsi="Sylfaen"/>
          <w:color w:val="000000"/>
        </w:rPr>
        <w:t>) with great determination managed to study a certain section of the monument.</w:t>
      </w:r>
    </w:p>
    <w:p w14:paraId="59B70D04" w14:textId="6D58E826" w:rsidR="00147B24" w:rsidRDefault="00147B24" w:rsidP="00147B24">
      <w:pPr>
        <w:pStyle w:val="NormalWeb"/>
        <w:spacing w:before="0" w:beforeAutospacing="0" w:after="0" w:afterAutospacing="0" w:line="360" w:lineRule="auto"/>
        <w:ind w:firstLine="720"/>
        <w:jc w:val="both"/>
        <w:rPr>
          <w:rFonts w:ascii="Sylfaen" w:hAnsi="Sylfaen"/>
          <w:color w:val="000000"/>
        </w:rPr>
      </w:pPr>
      <w:r w:rsidRPr="00147B24">
        <w:rPr>
          <w:rFonts w:ascii="Sylfaen" w:hAnsi="Sylfaen"/>
          <w:color w:val="000000"/>
        </w:rPr>
        <w:t xml:space="preserve">The 2010 excavations at </w:t>
      </w:r>
      <w:r>
        <w:rPr>
          <w:rFonts w:ascii="Sylfaen" w:hAnsi="Sylfaen"/>
          <w:color w:val="000000"/>
        </w:rPr>
        <w:t>Pichvnari</w:t>
      </w:r>
      <w:r w:rsidRPr="00147B24">
        <w:rPr>
          <w:rFonts w:ascii="Sylfaen" w:hAnsi="Sylfaen"/>
          <w:color w:val="000000"/>
        </w:rPr>
        <w:t xml:space="preserve"> Dune Site confirmed six cultural layers separated by sterile layers. The earliest is recorded at a depth of 7.5 meters from the surface. It seems that the sea was so close to the shore that from </w:t>
      </w:r>
      <w:r w:rsidR="00293885" w:rsidRPr="00147B24">
        <w:rPr>
          <w:rFonts w:ascii="Sylfaen" w:hAnsi="Sylfaen"/>
          <w:color w:val="000000"/>
        </w:rPr>
        <w:t>time-to-time</w:t>
      </w:r>
      <w:r w:rsidRPr="00147B24">
        <w:rPr>
          <w:rFonts w:ascii="Sylfaen" w:hAnsi="Sylfaen"/>
          <w:color w:val="000000"/>
        </w:rPr>
        <w:t xml:space="preserve"> waves washed over the site and covered the cultural layers with sand. This detail (the selection of a site near the seashore for the site) is significant and, directly or indirectly, is related to the functional purpose of the sites.</w:t>
      </w:r>
    </w:p>
    <w:p w14:paraId="5E7B3A9A" w14:textId="77777777" w:rsidR="00485E96" w:rsidRDefault="00147B24" w:rsidP="00485E96">
      <w:pPr>
        <w:pStyle w:val="NormalWeb"/>
        <w:spacing w:before="0" w:beforeAutospacing="0" w:after="0" w:afterAutospacing="0" w:line="360" w:lineRule="auto"/>
        <w:ind w:firstLine="720"/>
        <w:jc w:val="both"/>
        <w:rPr>
          <w:rStyle w:val="Strong"/>
          <w:rFonts w:ascii="Sylfaen" w:hAnsi="Sylfaen"/>
          <w:b w:val="0"/>
          <w:bCs w:val="0"/>
          <w:color w:val="000000"/>
          <w:lang w:val="en-GB"/>
        </w:rPr>
      </w:pPr>
      <w:r w:rsidRPr="00147B24">
        <w:rPr>
          <w:rStyle w:val="Strong"/>
          <w:rFonts w:ascii="Sylfaen" w:hAnsi="Sylfaen"/>
          <w:b w:val="0"/>
          <w:bCs w:val="0"/>
          <w:color w:val="000000"/>
          <w:lang w:val="en-GB"/>
        </w:rPr>
        <w:t>Archaeological excavations conducted at different times have established that substantial permanent structures are not characteristic of the settlement. According to the researchers, the temporary dwellings were likely lightweight, hut-like structures, the remains of which have virtually disappeared as a result of natural processes. In contrast, the site’s cultic and ritual areas, particularly the sacrificial installations, were well preserved (</w:t>
      </w:r>
      <w:r w:rsidRPr="00293885">
        <w:rPr>
          <w:rStyle w:val="Strong"/>
          <w:rFonts w:ascii="Sylfaen" w:hAnsi="Sylfaen"/>
          <w:b w:val="0"/>
          <w:bCs w:val="0"/>
          <w:color w:val="2E74B5" w:themeColor="accent5" w:themeShade="BF"/>
          <w:lang w:val="en-GB"/>
        </w:rPr>
        <w:t>Tabs. I-II</w:t>
      </w:r>
      <w:r w:rsidRPr="00147B24">
        <w:rPr>
          <w:rStyle w:val="Strong"/>
          <w:rFonts w:ascii="Sylfaen" w:hAnsi="Sylfaen"/>
          <w:b w:val="0"/>
          <w:bCs w:val="0"/>
          <w:color w:val="000000"/>
          <w:lang w:val="en-GB"/>
        </w:rPr>
        <w:t>). In some cases, these were equipped with large clay horn-shaped stands.</w:t>
      </w:r>
    </w:p>
    <w:p w14:paraId="38841238" w14:textId="77777777" w:rsidR="00485E96" w:rsidRDefault="00485E96" w:rsidP="00485E96">
      <w:pPr>
        <w:pStyle w:val="NormalWeb"/>
        <w:spacing w:before="0" w:beforeAutospacing="0" w:after="0" w:afterAutospacing="0" w:line="360" w:lineRule="auto"/>
        <w:ind w:firstLine="720"/>
        <w:jc w:val="both"/>
        <w:rPr>
          <w:rStyle w:val="Strong"/>
          <w:rFonts w:ascii="Sylfaen" w:hAnsi="Sylfaen"/>
          <w:b w:val="0"/>
          <w:bCs w:val="0"/>
          <w:color w:val="000000"/>
          <w:lang w:val="en-GB"/>
        </w:rPr>
      </w:pPr>
      <w:r w:rsidRPr="00485E96">
        <w:rPr>
          <w:rStyle w:val="Strong"/>
          <w:rFonts w:ascii="Sylfaen" w:hAnsi="Sylfaen"/>
          <w:b w:val="0"/>
          <w:bCs w:val="0"/>
          <w:color w:val="000000"/>
          <w:lang w:val="en-GB"/>
        </w:rPr>
        <w:t>The archaeological material recovered from the Pichvnari Dune Settlement consists predominantly of ceramic artifacts (</w:t>
      </w:r>
      <w:r w:rsidRPr="00293885">
        <w:rPr>
          <w:rStyle w:val="Strong"/>
          <w:rFonts w:ascii="Sylfaen" w:hAnsi="Sylfaen"/>
          <w:b w:val="0"/>
          <w:bCs w:val="0"/>
          <w:color w:val="2E74B5" w:themeColor="accent5" w:themeShade="BF"/>
          <w:lang w:val="en-GB"/>
        </w:rPr>
        <w:t>Tabs. III-IV</w:t>
      </w:r>
      <w:r w:rsidRPr="00485E96">
        <w:rPr>
          <w:rStyle w:val="Strong"/>
          <w:rFonts w:ascii="Sylfaen" w:hAnsi="Sylfaen"/>
          <w:b w:val="0"/>
          <w:bCs w:val="0"/>
          <w:color w:val="000000"/>
          <w:lang w:val="en-GB"/>
        </w:rPr>
        <w:t>). Numerous fragments of basin-shaped vessels, stands, and domestic vessels have been found, along with several complete forms and objects associated with ritual practices. Among the stone artifacts, a large number of net sinkers used for fishing have been recovered.</w:t>
      </w:r>
    </w:p>
    <w:p w14:paraId="3DBBB3E1" w14:textId="77777777" w:rsidR="00485E96" w:rsidRPr="00485E96" w:rsidRDefault="00485E96" w:rsidP="00485E96">
      <w:pPr>
        <w:pStyle w:val="NormalWeb"/>
        <w:spacing w:before="0" w:beforeAutospacing="0" w:after="0" w:afterAutospacing="0" w:line="360" w:lineRule="auto"/>
        <w:ind w:firstLine="720"/>
        <w:jc w:val="both"/>
        <w:rPr>
          <w:rFonts w:ascii="Sylfaen" w:hAnsi="Sylfaen"/>
          <w:b/>
          <w:bCs/>
          <w:color w:val="000000"/>
          <w:lang w:val="en-GB"/>
        </w:rPr>
      </w:pPr>
      <w:r w:rsidRPr="00485E96">
        <w:rPr>
          <w:rStyle w:val="Strong"/>
          <w:rFonts w:ascii="Sylfaen" w:hAnsi="Sylfaen"/>
          <w:b w:val="0"/>
          <w:bCs w:val="0"/>
          <w:color w:val="000000"/>
          <w:lang w:val="en-GB"/>
        </w:rPr>
        <w:t>There is considerable scholarly debate regarding the functional purpose of dune settlements. One view holds that local communities used the coastal sand dunes for fishing and the salting and preservation of fish. Another hypothesis suggests that dune settlements served as cultic sites where religious rituals were performed periodically. Finally, a more conciliatory interpretation proposes that, at different times of the year and on a seasonal basis, coastal dunes were used for all of the above-mentioned subsistence activities as well as for the performance of cultic ceremonies.</w:t>
      </w:r>
    </w:p>
    <w:p w14:paraId="64F087CB" w14:textId="77777777" w:rsidR="00485E96" w:rsidRDefault="00485E96" w:rsidP="00593C8C">
      <w:pPr>
        <w:spacing w:after="0" w:line="360" w:lineRule="auto"/>
        <w:ind w:firstLine="720"/>
        <w:jc w:val="both"/>
        <w:rPr>
          <w:rFonts w:ascii="Sylfaen" w:hAnsi="Sylfaen"/>
          <w:b/>
          <w:bCs/>
          <w:color w:val="000000"/>
          <w:sz w:val="24"/>
          <w:szCs w:val="24"/>
          <w:lang w:val="en-GB"/>
        </w:rPr>
      </w:pPr>
    </w:p>
    <w:p w14:paraId="7A965467" w14:textId="77777777" w:rsidR="00593C8C" w:rsidRDefault="00593C8C" w:rsidP="00593C8C">
      <w:pPr>
        <w:spacing w:after="0" w:line="360" w:lineRule="auto"/>
        <w:ind w:firstLine="720"/>
        <w:jc w:val="both"/>
        <w:rPr>
          <w:rFonts w:ascii="Sylfaen" w:hAnsi="Sylfaen"/>
          <w:color w:val="000000"/>
          <w:sz w:val="24"/>
          <w:szCs w:val="24"/>
          <w:lang w:val="en-GB"/>
        </w:rPr>
      </w:pPr>
      <w:r w:rsidRPr="0018501B">
        <w:rPr>
          <w:rFonts w:ascii="Sylfaen" w:hAnsi="Sylfaen"/>
          <w:b/>
          <w:bCs/>
          <w:color w:val="000000"/>
          <w:sz w:val="24"/>
          <w:szCs w:val="24"/>
          <w:lang w:val="en-GB"/>
        </w:rPr>
        <w:t>Bibliography</w:t>
      </w:r>
      <w:r w:rsidRPr="0018501B">
        <w:rPr>
          <w:rFonts w:ascii="Sylfaen" w:hAnsi="Sylfaen"/>
          <w:color w:val="000000"/>
          <w:sz w:val="24"/>
          <w:szCs w:val="24"/>
          <w:lang w:val="en-GB"/>
        </w:rPr>
        <w:t xml:space="preserve">: </w:t>
      </w:r>
    </w:p>
    <w:p w14:paraId="7430F591" w14:textId="12870D72" w:rsidR="00485E96" w:rsidRPr="00485E96" w:rsidRDefault="00485E96" w:rsidP="00485E96">
      <w:pPr>
        <w:spacing w:after="0" w:line="360" w:lineRule="auto"/>
        <w:ind w:firstLine="720"/>
        <w:jc w:val="both"/>
        <w:rPr>
          <w:rFonts w:ascii="Sylfaen" w:hAnsi="Sylfaen"/>
          <w:color w:val="000000"/>
          <w:sz w:val="24"/>
          <w:szCs w:val="24"/>
          <w:lang w:val="en-GB"/>
        </w:rPr>
      </w:pPr>
      <w:r w:rsidRPr="00485E96">
        <w:rPr>
          <w:rFonts w:ascii="Sylfaen" w:hAnsi="Sylfaen"/>
          <w:color w:val="000000"/>
          <w:sz w:val="24"/>
          <w:szCs w:val="24"/>
          <w:lang w:val="en-GB"/>
        </w:rPr>
        <w:t xml:space="preserve">1. </w:t>
      </w:r>
      <w:r w:rsidRPr="00485E96">
        <w:rPr>
          <w:rFonts w:ascii="Sylfaen" w:hAnsi="Sylfaen"/>
          <w:b/>
          <w:bCs/>
          <w:color w:val="000000"/>
          <w:sz w:val="24"/>
          <w:szCs w:val="24"/>
          <w:lang w:val="en-GB"/>
        </w:rPr>
        <w:t>Tavamaishvili G</w:t>
      </w:r>
      <w:r w:rsidRPr="00485E96">
        <w:rPr>
          <w:rFonts w:ascii="Sylfaen" w:hAnsi="Sylfaen"/>
          <w:color w:val="000000"/>
          <w:sz w:val="24"/>
          <w:szCs w:val="24"/>
          <w:lang w:val="en-GB"/>
        </w:rPr>
        <w:t>., Ancient settlements on the New Black Sea terrace of South-West Georgia. - Archaeological monuments of South-West Georgia, XXII, Tbilisi, 2012</w:t>
      </w:r>
    </w:p>
    <w:p w14:paraId="1549A926" w14:textId="77777777" w:rsidR="00485E96" w:rsidRPr="00485E96" w:rsidRDefault="00485E96" w:rsidP="00485E96">
      <w:pPr>
        <w:spacing w:after="0" w:line="360" w:lineRule="auto"/>
        <w:ind w:firstLine="720"/>
        <w:jc w:val="both"/>
        <w:rPr>
          <w:rFonts w:ascii="Sylfaen" w:hAnsi="Sylfaen"/>
          <w:color w:val="000000"/>
          <w:sz w:val="24"/>
          <w:szCs w:val="24"/>
          <w:lang w:val="en-GB"/>
        </w:rPr>
      </w:pPr>
      <w:r w:rsidRPr="00485E96">
        <w:rPr>
          <w:rFonts w:ascii="Sylfaen" w:hAnsi="Sylfaen"/>
          <w:color w:val="000000"/>
          <w:sz w:val="24"/>
          <w:szCs w:val="24"/>
          <w:lang w:val="en-GB"/>
        </w:rPr>
        <w:t xml:space="preserve">2. </w:t>
      </w:r>
      <w:r w:rsidRPr="00485E96">
        <w:rPr>
          <w:rFonts w:ascii="Sylfaen" w:hAnsi="Sylfaen"/>
          <w:b/>
          <w:bCs/>
          <w:color w:val="000000"/>
          <w:sz w:val="24"/>
          <w:szCs w:val="24"/>
          <w:lang w:val="en-GB"/>
        </w:rPr>
        <w:t>Inaishvili A</w:t>
      </w:r>
      <w:r w:rsidRPr="00485E96">
        <w:rPr>
          <w:rFonts w:ascii="Sylfaen" w:hAnsi="Sylfaen"/>
          <w:color w:val="000000"/>
          <w:sz w:val="24"/>
          <w:szCs w:val="24"/>
          <w:lang w:val="en-GB"/>
        </w:rPr>
        <w:t>., Results of the work of the South-West Georgia archaeological expedition in 1973 (report). - Monuments of South-West Georgia, VI, Tbilisi, 1977</w:t>
      </w:r>
    </w:p>
    <w:p w14:paraId="45EAD8D1" w14:textId="77777777" w:rsidR="00485E96" w:rsidRPr="00485E96" w:rsidRDefault="00485E96" w:rsidP="00485E96">
      <w:pPr>
        <w:spacing w:after="0" w:line="360" w:lineRule="auto"/>
        <w:ind w:firstLine="720"/>
        <w:jc w:val="both"/>
        <w:rPr>
          <w:rFonts w:ascii="Sylfaen" w:hAnsi="Sylfaen"/>
          <w:color w:val="000000"/>
          <w:sz w:val="24"/>
          <w:szCs w:val="24"/>
          <w:lang w:val="en-GB"/>
        </w:rPr>
      </w:pPr>
      <w:r w:rsidRPr="00485E96">
        <w:rPr>
          <w:rFonts w:ascii="Sylfaen" w:hAnsi="Sylfaen"/>
          <w:color w:val="000000"/>
          <w:sz w:val="24"/>
          <w:szCs w:val="24"/>
          <w:lang w:val="en-GB"/>
        </w:rPr>
        <w:t xml:space="preserve">3. </w:t>
      </w:r>
      <w:r w:rsidRPr="00485E96">
        <w:rPr>
          <w:rFonts w:ascii="Sylfaen" w:hAnsi="Sylfaen"/>
          <w:b/>
          <w:bCs/>
          <w:color w:val="000000"/>
          <w:sz w:val="24"/>
          <w:szCs w:val="24"/>
          <w:lang w:val="en-GB"/>
        </w:rPr>
        <w:t>Kakhidze A</w:t>
      </w:r>
      <w:r w:rsidRPr="00485E96">
        <w:rPr>
          <w:rFonts w:ascii="Sylfaen" w:hAnsi="Sylfaen"/>
          <w:color w:val="000000"/>
          <w:sz w:val="24"/>
          <w:szCs w:val="24"/>
          <w:lang w:val="en-GB"/>
        </w:rPr>
        <w:t>., Ancient cities of the Georgian seaside, Tbilisi, 1971</w:t>
      </w:r>
    </w:p>
    <w:p w14:paraId="5D8CA4BD" w14:textId="77777777" w:rsidR="00485E96" w:rsidRPr="00485E96" w:rsidRDefault="00485E96" w:rsidP="00485E96">
      <w:pPr>
        <w:spacing w:after="0" w:line="360" w:lineRule="auto"/>
        <w:ind w:firstLine="720"/>
        <w:jc w:val="both"/>
        <w:rPr>
          <w:rFonts w:ascii="Sylfaen" w:hAnsi="Sylfaen"/>
          <w:color w:val="000000"/>
          <w:sz w:val="24"/>
          <w:szCs w:val="24"/>
          <w:lang w:val="en-GB"/>
        </w:rPr>
      </w:pPr>
      <w:r w:rsidRPr="00485E96">
        <w:rPr>
          <w:rFonts w:ascii="Sylfaen" w:hAnsi="Sylfaen"/>
          <w:color w:val="000000"/>
          <w:sz w:val="24"/>
          <w:szCs w:val="24"/>
          <w:lang w:val="en-GB"/>
        </w:rPr>
        <w:t xml:space="preserve">4. </w:t>
      </w:r>
      <w:r w:rsidRPr="00485E96">
        <w:rPr>
          <w:rFonts w:ascii="Sylfaen" w:hAnsi="Sylfaen"/>
          <w:b/>
          <w:bCs/>
          <w:color w:val="000000"/>
          <w:sz w:val="24"/>
          <w:szCs w:val="24"/>
          <w:lang w:val="en-GB"/>
        </w:rPr>
        <w:t>Kakhidze A</w:t>
      </w:r>
      <w:r w:rsidRPr="00293885">
        <w:rPr>
          <w:rFonts w:ascii="Sylfaen" w:hAnsi="Sylfaen"/>
          <w:b/>
          <w:bCs/>
          <w:color w:val="000000"/>
          <w:sz w:val="24"/>
          <w:szCs w:val="24"/>
          <w:lang w:val="en-GB"/>
        </w:rPr>
        <w:t xml:space="preserve">., Tavamaishvili, G., Chavleishvili, I., </w:t>
      </w:r>
      <w:r w:rsidRPr="00485E96">
        <w:rPr>
          <w:rFonts w:ascii="Sylfaen" w:hAnsi="Sylfaen"/>
          <w:color w:val="000000"/>
          <w:sz w:val="24"/>
          <w:szCs w:val="24"/>
          <w:lang w:val="en-GB"/>
        </w:rPr>
        <w:t>Field archaeological research on the sand dunes of Pich</w:t>
      </w:r>
      <w:r>
        <w:rPr>
          <w:rFonts w:ascii="Sylfaen" w:hAnsi="Sylfaen"/>
          <w:color w:val="000000"/>
          <w:sz w:val="24"/>
          <w:szCs w:val="24"/>
          <w:lang w:val="en-GB"/>
        </w:rPr>
        <w:t>v</w:t>
      </w:r>
      <w:r w:rsidRPr="00485E96">
        <w:rPr>
          <w:rFonts w:ascii="Sylfaen" w:hAnsi="Sylfaen"/>
          <w:color w:val="000000"/>
          <w:sz w:val="24"/>
          <w:szCs w:val="24"/>
          <w:lang w:val="en-GB"/>
        </w:rPr>
        <w:t>nari. - Proceedings of the Batumi Archaeological Museum, V, Tbilisi, 2013 (</w:t>
      </w:r>
      <w:r w:rsidRPr="00293885">
        <w:rPr>
          <w:rFonts w:ascii="Sylfaen" w:hAnsi="Sylfaen"/>
          <w:color w:val="538135" w:themeColor="accent6" w:themeShade="BF"/>
          <w:sz w:val="24"/>
          <w:szCs w:val="24"/>
          <w:lang w:val="en-GB"/>
        </w:rPr>
        <w:t>pdf</w:t>
      </w:r>
      <w:r w:rsidRPr="00485E96">
        <w:rPr>
          <w:rFonts w:ascii="Sylfaen" w:hAnsi="Sylfaen"/>
          <w:color w:val="000000"/>
          <w:sz w:val="24"/>
          <w:szCs w:val="24"/>
          <w:lang w:val="en-GB"/>
        </w:rPr>
        <w:t>)</w:t>
      </w:r>
    </w:p>
    <w:p w14:paraId="7798C631" w14:textId="77777777" w:rsidR="00485E96" w:rsidRPr="00485E96" w:rsidRDefault="00485E96" w:rsidP="00485E96">
      <w:pPr>
        <w:spacing w:after="0" w:line="360" w:lineRule="auto"/>
        <w:ind w:firstLine="720"/>
        <w:jc w:val="both"/>
        <w:rPr>
          <w:rFonts w:ascii="Sylfaen" w:hAnsi="Sylfaen"/>
          <w:color w:val="000000"/>
          <w:sz w:val="24"/>
          <w:szCs w:val="24"/>
          <w:lang w:val="en-GB"/>
        </w:rPr>
      </w:pPr>
      <w:r w:rsidRPr="00485E96">
        <w:rPr>
          <w:rFonts w:ascii="Sylfaen" w:hAnsi="Sylfaen"/>
          <w:color w:val="000000"/>
          <w:sz w:val="24"/>
          <w:szCs w:val="24"/>
          <w:lang w:val="en-GB"/>
        </w:rPr>
        <w:t xml:space="preserve">5. </w:t>
      </w:r>
      <w:r w:rsidRPr="00485E96">
        <w:rPr>
          <w:rFonts w:ascii="Sylfaen" w:hAnsi="Sylfaen"/>
          <w:b/>
          <w:bCs/>
          <w:color w:val="000000"/>
          <w:sz w:val="24"/>
          <w:szCs w:val="24"/>
          <w:lang w:val="en-GB"/>
        </w:rPr>
        <w:t>Ramishvili A</w:t>
      </w:r>
      <w:r w:rsidRPr="00485E96">
        <w:rPr>
          <w:rFonts w:ascii="Sylfaen" w:hAnsi="Sylfaen"/>
          <w:color w:val="000000"/>
          <w:sz w:val="24"/>
          <w:szCs w:val="24"/>
          <w:lang w:val="en-GB"/>
        </w:rPr>
        <w:t xml:space="preserve">., Ancient settlements on the sand dunes of </w:t>
      </w:r>
      <w:r>
        <w:rPr>
          <w:rFonts w:ascii="Sylfaen" w:hAnsi="Sylfaen"/>
          <w:color w:val="000000"/>
          <w:sz w:val="24"/>
          <w:szCs w:val="24"/>
          <w:lang w:val="en-GB"/>
        </w:rPr>
        <w:t>Pichvnari</w:t>
      </w:r>
      <w:r w:rsidRPr="00485E96">
        <w:rPr>
          <w:rFonts w:ascii="Sylfaen" w:hAnsi="Sylfaen"/>
          <w:color w:val="000000"/>
          <w:sz w:val="24"/>
          <w:szCs w:val="24"/>
          <w:lang w:val="en-GB"/>
        </w:rPr>
        <w:t xml:space="preserve"> (results of archaeological excavations in 1961). - Monuments of South-West Georgia, Tbilisi, 1964</w:t>
      </w:r>
    </w:p>
    <w:p w14:paraId="3AF83658" w14:textId="77777777" w:rsidR="00593C8C" w:rsidRDefault="00485E96" w:rsidP="00485E96">
      <w:pPr>
        <w:spacing w:after="0" w:line="360" w:lineRule="auto"/>
        <w:ind w:firstLine="720"/>
        <w:jc w:val="both"/>
        <w:rPr>
          <w:rFonts w:ascii="Sylfaen" w:hAnsi="Sylfaen"/>
          <w:color w:val="000000"/>
          <w:sz w:val="24"/>
          <w:szCs w:val="24"/>
          <w:lang w:val="en-GB"/>
        </w:rPr>
      </w:pPr>
      <w:r w:rsidRPr="00485E96">
        <w:rPr>
          <w:rFonts w:ascii="Sylfaen" w:hAnsi="Sylfaen"/>
          <w:color w:val="000000"/>
          <w:sz w:val="24"/>
          <w:szCs w:val="24"/>
          <w:lang w:val="en-GB"/>
        </w:rPr>
        <w:t xml:space="preserve">6. </w:t>
      </w:r>
      <w:r w:rsidRPr="00485E96">
        <w:rPr>
          <w:rFonts w:ascii="Sylfaen" w:hAnsi="Sylfaen"/>
          <w:b/>
          <w:bCs/>
          <w:color w:val="000000"/>
          <w:sz w:val="24"/>
          <w:szCs w:val="24"/>
          <w:lang w:val="en-GB"/>
        </w:rPr>
        <w:t>Chavleishvili I</w:t>
      </w:r>
      <w:r w:rsidRPr="00485E96">
        <w:rPr>
          <w:rFonts w:ascii="Sylfaen" w:hAnsi="Sylfaen"/>
          <w:color w:val="000000"/>
          <w:sz w:val="24"/>
          <w:szCs w:val="24"/>
          <w:lang w:val="en-GB"/>
        </w:rPr>
        <w:t xml:space="preserve">., Archaeological excavations on the ancient settlements of </w:t>
      </w:r>
      <w:proofErr w:type="spellStart"/>
      <w:r>
        <w:rPr>
          <w:rFonts w:ascii="Sylfaen" w:hAnsi="Sylfaen"/>
          <w:color w:val="000000"/>
          <w:sz w:val="24"/>
          <w:szCs w:val="24"/>
          <w:lang w:val="en-GB"/>
        </w:rPr>
        <w:t>pichvnari</w:t>
      </w:r>
      <w:proofErr w:type="spellEnd"/>
      <w:r w:rsidRPr="00485E96">
        <w:rPr>
          <w:rFonts w:ascii="Sylfaen" w:hAnsi="Sylfaen"/>
          <w:color w:val="000000"/>
          <w:sz w:val="24"/>
          <w:szCs w:val="24"/>
          <w:lang w:val="en-GB"/>
        </w:rPr>
        <w:t xml:space="preserve"> in 1983. - Monuments of South-West Georgia, XVI, Tbilisi, 1987</w:t>
      </w:r>
    </w:p>
    <w:p w14:paraId="5F49A136" w14:textId="77777777" w:rsidR="00C61E1D" w:rsidRDefault="00C61E1D" w:rsidP="00593C8C">
      <w:pPr>
        <w:spacing w:after="0" w:line="360" w:lineRule="auto"/>
        <w:ind w:firstLine="720"/>
        <w:jc w:val="both"/>
        <w:rPr>
          <w:rStyle w:val="Strong"/>
          <w:rFonts w:ascii="Sylfaen" w:hAnsi="Sylfaen"/>
          <w:color w:val="000000"/>
          <w:sz w:val="24"/>
          <w:szCs w:val="24"/>
          <w:lang w:val="en-GB"/>
        </w:rPr>
      </w:pPr>
    </w:p>
    <w:p w14:paraId="26BA8D41" w14:textId="77777777" w:rsidR="00063434" w:rsidRPr="00864685" w:rsidRDefault="00063434" w:rsidP="00864685">
      <w:pPr>
        <w:rPr>
          <w:lang w:val="en-GB"/>
        </w:rPr>
      </w:pPr>
    </w:p>
    <w:sectPr w:rsidR="00063434" w:rsidRPr="00864685"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147B24"/>
    <w:rsid w:val="00293885"/>
    <w:rsid w:val="00485E96"/>
    <w:rsid w:val="00593C8C"/>
    <w:rsid w:val="00642833"/>
    <w:rsid w:val="006F65D6"/>
    <w:rsid w:val="00864685"/>
    <w:rsid w:val="009D2FA5"/>
    <w:rsid w:val="00B90953"/>
    <w:rsid w:val="00C61E1D"/>
    <w:rsid w:val="00EF70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353DF"/>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534268343">
      <w:bodyDiv w:val="1"/>
      <w:marLeft w:val="0"/>
      <w:marRight w:val="0"/>
      <w:marTop w:val="0"/>
      <w:marBottom w:val="0"/>
      <w:divBdr>
        <w:top w:val="none" w:sz="0" w:space="0" w:color="auto"/>
        <w:left w:val="none" w:sz="0" w:space="0" w:color="auto"/>
        <w:bottom w:val="none" w:sz="0" w:space="0" w:color="auto"/>
        <w:right w:val="none" w:sz="0" w:space="0" w:color="auto"/>
      </w:divBdr>
    </w:div>
    <w:div w:id="825365106">
      <w:bodyDiv w:val="1"/>
      <w:marLeft w:val="0"/>
      <w:marRight w:val="0"/>
      <w:marTop w:val="0"/>
      <w:marBottom w:val="0"/>
      <w:divBdr>
        <w:top w:val="none" w:sz="0" w:space="0" w:color="auto"/>
        <w:left w:val="none" w:sz="0" w:space="0" w:color="auto"/>
        <w:bottom w:val="none" w:sz="0" w:space="0" w:color="auto"/>
        <w:right w:val="none" w:sz="0" w:space="0" w:color="auto"/>
      </w:divBdr>
      <w:divsChild>
        <w:div w:id="94255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466920">
      <w:bodyDiv w:val="1"/>
      <w:marLeft w:val="0"/>
      <w:marRight w:val="0"/>
      <w:marTop w:val="0"/>
      <w:marBottom w:val="0"/>
      <w:divBdr>
        <w:top w:val="none" w:sz="0" w:space="0" w:color="auto"/>
        <w:left w:val="none" w:sz="0" w:space="0" w:color="auto"/>
        <w:bottom w:val="none" w:sz="0" w:space="0" w:color="auto"/>
        <w:right w:val="none" w:sz="0" w:space="0" w:color="auto"/>
      </w:divBdr>
    </w:div>
    <w:div w:id="1137265201">
      <w:bodyDiv w:val="1"/>
      <w:marLeft w:val="0"/>
      <w:marRight w:val="0"/>
      <w:marTop w:val="0"/>
      <w:marBottom w:val="0"/>
      <w:divBdr>
        <w:top w:val="none" w:sz="0" w:space="0" w:color="auto"/>
        <w:left w:val="none" w:sz="0" w:space="0" w:color="auto"/>
        <w:bottom w:val="none" w:sz="0" w:space="0" w:color="auto"/>
        <w:right w:val="none" w:sz="0" w:space="0" w:color="auto"/>
      </w:divBdr>
      <w:divsChild>
        <w:div w:id="10670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384791208">
      <w:bodyDiv w:val="1"/>
      <w:marLeft w:val="0"/>
      <w:marRight w:val="0"/>
      <w:marTop w:val="0"/>
      <w:marBottom w:val="0"/>
      <w:divBdr>
        <w:top w:val="none" w:sz="0" w:space="0" w:color="auto"/>
        <w:left w:val="none" w:sz="0" w:space="0" w:color="auto"/>
        <w:bottom w:val="none" w:sz="0" w:space="0" w:color="auto"/>
        <w:right w:val="none" w:sz="0" w:space="0" w:color="auto"/>
      </w:divBdr>
      <w:divsChild>
        <w:div w:id="1170367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4</cp:revision>
  <dcterms:created xsi:type="dcterms:W3CDTF">2026-06-23T19:03:00Z</dcterms:created>
  <dcterms:modified xsi:type="dcterms:W3CDTF">2026-08-20T07:59:00Z</dcterms:modified>
</cp:coreProperties>
</file>