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E185A" w14:textId="77777777" w:rsidR="00864685" w:rsidRPr="001769D8" w:rsidRDefault="00864685" w:rsidP="00012EAD">
      <w:pPr>
        <w:spacing w:after="0" w:line="360" w:lineRule="auto"/>
        <w:jc w:val="center"/>
        <w:rPr>
          <w:rFonts w:ascii="Sylfaen" w:hAnsi="Sylfaen"/>
          <w:b/>
          <w:bCs/>
          <w:sz w:val="24"/>
          <w:szCs w:val="24"/>
          <w:lang w:val="en-GB"/>
        </w:rPr>
      </w:pPr>
      <w:r w:rsidRPr="001769D8">
        <w:rPr>
          <w:rFonts w:ascii="Sylfaen" w:hAnsi="Sylfaen"/>
          <w:b/>
          <w:bCs/>
          <w:sz w:val="24"/>
          <w:szCs w:val="24"/>
          <w:lang w:val="en-GB"/>
        </w:rPr>
        <w:t>Passport of Archaeological Monument</w:t>
      </w:r>
    </w:p>
    <w:p w14:paraId="3A5901F3" w14:textId="77777777" w:rsidR="00864685" w:rsidRPr="001769D8" w:rsidRDefault="00864685" w:rsidP="00012EAD">
      <w:pPr>
        <w:spacing w:after="0" w:line="360" w:lineRule="auto"/>
        <w:jc w:val="center"/>
        <w:rPr>
          <w:rFonts w:ascii="Sylfaen" w:hAnsi="Sylfaen"/>
          <w:b/>
          <w:bCs/>
          <w:sz w:val="24"/>
          <w:szCs w:val="24"/>
          <w:lang w:val="en-GB"/>
        </w:rPr>
      </w:pPr>
    </w:p>
    <w:p w14:paraId="03AC9C2D" w14:textId="12CAC149" w:rsidR="00864685" w:rsidRPr="007A4917" w:rsidRDefault="00864685" w:rsidP="00012EAD">
      <w:pPr>
        <w:tabs>
          <w:tab w:val="left" w:pos="360"/>
        </w:tabs>
        <w:spacing w:after="0" w:line="360" w:lineRule="auto"/>
        <w:ind w:firstLine="720"/>
        <w:jc w:val="both"/>
        <w:rPr>
          <w:rFonts w:ascii="Sylfaen" w:hAnsi="Sylfaen"/>
          <w:sz w:val="24"/>
          <w:szCs w:val="24"/>
          <w:lang w:val="en-US"/>
        </w:rPr>
      </w:pPr>
      <w:r w:rsidRPr="001769D8">
        <w:rPr>
          <w:rFonts w:ascii="Sylfaen" w:hAnsi="Sylfaen"/>
          <w:b/>
          <w:bCs/>
          <w:sz w:val="24"/>
          <w:szCs w:val="24"/>
          <w:lang w:val="en-GB"/>
        </w:rPr>
        <w:t>Name of archaeological site</w:t>
      </w:r>
      <w:r w:rsidRPr="001769D8">
        <w:rPr>
          <w:rFonts w:ascii="Sylfaen" w:hAnsi="Sylfaen"/>
          <w:sz w:val="24"/>
          <w:szCs w:val="24"/>
          <w:lang w:val="en-GB"/>
        </w:rPr>
        <w:t>:</w:t>
      </w:r>
      <w:r w:rsidR="00062D62">
        <w:rPr>
          <w:rFonts w:ascii="Sylfaen" w:hAnsi="Sylfaen"/>
          <w:sz w:val="24"/>
          <w:szCs w:val="24"/>
          <w:lang w:val="ka-GE"/>
        </w:rPr>
        <w:t xml:space="preserve"> </w:t>
      </w:r>
      <w:r w:rsidR="00867F3A">
        <w:rPr>
          <w:rFonts w:ascii="Sylfaen" w:hAnsi="Sylfaen"/>
          <w:sz w:val="24"/>
          <w:szCs w:val="24"/>
          <w:lang w:val="ka-GE"/>
        </w:rPr>
        <w:t xml:space="preserve">Pichvnari </w:t>
      </w:r>
      <w:r w:rsidR="00062D62" w:rsidRPr="00062D62">
        <w:rPr>
          <w:rFonts w:ascii="Sylfaen" w:hAnsi="Sylfaen"/>
          <w:sz w:val="24"/>
          <w:szCs w:val="24"/>
          <w:lang w:val="ka-GE"/>
        </w:rPr>
        <w:t>Hill Settlements</w:t>
      </w:r>
      <w:r w:rsidR="007A4917">
        <w:rPr>
          <w:rFonts w:ascii="Sylfaen" w:hAnsi="Sylfaen"/>
          <w:sz w:val="24"/>
          <w:szCs w:val="24"/>
          <w:lang w:val="en-US"/>
        </w:rPr>
        <w:t xml:space="preserve"> </w:t>
      </w:r>
      <w:r w:rsidR="00867F3A">
        <w:rPr>
          <w:rFonts w:ascii="Sylfaen" w:hAnsi="Sylfaen"/>
          <w:sz w:val="24"/>
          <w:szCs w:val="24"/>
          <w:lang w:val="en-US"/>
        </w:rPr>
        <w:t>Site</w:t>
      </w:r>
    </w:p>
    <w:p w14:paraId="0FF0161C" w14:textId="77777777" w:rsidR="00864685" w:rsidRPr="001769D8" w:rsidRDefault="00864685" w:rsidP="00012EAD">
      <w:pPr>
        <w:tabs>
          <w:tab w:val="left" w:pos="360"/>
        </w:tabs>
        <w:spacing w:after="0" w:line="360" w:lineRule="auto"/>
        <w:ind w:firstLine="720"/>
        <w:jc w:val="both"/>
        <w:rPr>
          <w:rFonts w:ascii="Sylfaen" w:hAnsi="Sylfaen"/>
          <w:sz w:val="24"/>
          <w:szCs w:val="24"/>
          <w:lang w:val="en-GB"/>
        </w:rPr>
      </w:pPr>
      <w:r w:rsidRPr="001769D8">
        <w:rPr>
          <w:rFonts w:ascii="Sylfaen" w:hAnsi="Sylfaen"/>
          <w:b/>
          <w:bCs/>
          <w:sz w:val="24"/>
          <w:szCs w:val="24"/>
          <w:lang w:val="en-GB"/>
        </w:rPr>
        <w:t>Type of archaeological site:</w:t>
      </w:r>
      <w:r w:rsidRPr="001769D8">
        <w:rPr>
          <w:rFonts w:ascii="Sylfaen" w:hAnsi="Sylfaen"/>
          <w:sz w:val="24"/>
          <w:szCs w:val="24"/>
          <w:lang w:val="en-GB"/>
        </w:rPr>
        <w:t xml:space="preserve"> </w:t>
      </w:r>
      <w:r w:rsidR="00F667F9" w:rsidRPr="00062D62">
        <w:rPr>
          <w:rFonts w:ascii="Sylfaen" w:hAnsi="Sylfaen"/>
          <w:sz w:val="24"/>
          <w:szCs w:val="24"/>
          <w:lang w:val="ka-GE"/>
        </w:rPr>
        <w:t>Settlement</w:t>
      </w:r>
    </w:p>
    <w:p w14:paraId="088CE6A6" w14:textId="77777777" w:rsidR="00062D62" w:rsidRDefault="00864685" w:rsidP="00012EAD">
      <w:pPr>
        <w:tabs>
          <w:tab w:val="left" w:pos="360"/>
        </w:tabs>
        <w:spacing w:after="0" w:line="360" w:lineRule="auto"/>
        <w:ind w:firstLine="720"/>
        <w:jc w:val="both"/>
        <w:rPr>
          <w:rFonts w:ascii="Sylfaen" w:hAnsi="Sylfaen"/>
          <w:sz w:val="24"/>
          <w:szCs w:val="24"/>
          <w:lang w:val="en-GB"/>
        </w:rPr>
      </w:pPr>
      <w:r w:rsidRPr="001769D8">
        <w:rPr>
          <w:rFonts w:ascii="Sylfaen" w:hAnsi="Sylfaen"/>
          <w:b/>
          <w:bCs/>
          <w:sz w:val="24"/>
          <w:szCs w:val="24"/>
          <w:lang w:val="en-GB"/>
        </w:rPr>
        <w:t>Chronological attribution (historical era, exact date)</w:t>
      </w:r>
      <w:r w:rsidRPr="001769D8">
        <w:rPr>
          <w:rFonts w:ascii="Sylfaen" w:hAnsi="Sylfaen"/>
          <w:sz w:val="24"/>
          <w:szCs w:val="24"/>
          <w:lang w:val="en-GB"/>
        </w:rPr>
        <w:t xml:space="preserve"> </w:t>
      </w:r>
      <w:r w:rsidR="00684E36">
        <w:rPr>
          <w:rFonts w:ascii="Sylfaen" w:hAnsi="Sylfaen"/>
          <w:sz w:val="24"/>
          <w:szCs w:val="24"/>
          <w:lang w:val="en-GB"/>
        </w:rPr>
        <w:t>-</w:t>
      </w:r>
      <w:r w:rsidR="00B2321C" w:rsidRPr="001769D8">
        <w:rPr>
          <w:rFonts w:ascii="Sylfaen" w:hAnsi="Sylfaen"/>
          <w:sz w:val="24"/>
          <w:szCs w:val="24"/>
          <w:lang w:val="en-GB"/>
        </w:rPr>
        <w:t xml:space="preserve"> </w:t>
      </w:r>
      <w:r w:rsidR="00F667F9" w:rsidRPr="00F667F9">
        <w:rPr>
          <w:rFonts w:ascii="Sylfaen" w:hAnsi="Sylfaen"/>
          <w:sz w:val="24"/>
          <w:szCs w:val="24"/>
          <w:lang w:val="en-GB"/>
        </w:rPr>
        <w:t>Second half of the 2</w:t>
      </w:r>
      <w:r w:rsidR="00F667F9" w:rsidRPr="00F667F9">
        <w:rPr>
          <w:rFonts w:ascii="Sylfaen" w:hAnsi="Sylfaen"/>
          <w:sz w:val="24"/>
          <w:szCs w:val="24"/>
          <w:vertAlign w:val="superscript"/>
          <w:lang w:val="en-GB"/>
        </w:rPr>
        <w:t>nd</w:t>
      </w:r>
      <w:r w:rsidR="00F667F9">
        <w:rPr>
          <w:rFonts w:ascii="Sylfaen" w:hAnsi="Sylfaen"/>
          <w:sz w:val="24"/>
          <w:szCs w:val="24"/>
          <w:lang w:val="en-GB"/>
        </w:rPr>
        <w:t xml:space="preserve"> </w:t>
      </w:r>
      <w:r w:rsidR="00F667F9" w:rsidRPr="00F667F9">
        <w:rPr>
          <w:rFonts w:ascii="Sylfaen" w:hAnsi="Sylfaen"/>
          <w:sz w:val="24"/>
          <w:szCs w:val="24"/>
          <w:lang w:val="en-GB"/>
        </w:rPr>
        <w:t>millennium BC - I millennium BC</w:t>
      </w:r>
    </w:p>
    <w:p w14:paraId="704897C8" w14:textId="71D75FD3" w:rsidR="00867F3A" w:rsidRPr="00160066" w:rsidRDefault="00867F3A" w:rsidP="00012EAD">
      <w:pPr>
        <w:pStyle w:val="Default"/>
        <w:spacing w:line="276" w:lineRule="auto"/>
        <w:ind w:firstLine="567"/>
        <w:contextualSpacing/>
        <w:jc w:val="both"/>
        <w:rPr>
          <w:sz w:val="22"/>
          <w:szCs w:val="22"/>
        </w:rPr>
      </w:pPr>
      <w:r>
        <w:rPr>
          <w:b/>
          <w:bCs/>
          <w:lang w:val="en-GB"/>
        </w:rPr>
        <w:t xml:space="preserve">   </w:t>
      </w:r>
      <w:r w:rsidR="00864685" w:rsidRPr="001769D8">
        <w:rPr>
          <w:b/>
          <w:bCs/>
          <w:lang w:val="en-GB"/>
        </w:rPr>
        <w:t>Address (municipality, city, village, valley, GPS Coordinates)</w:t>
      </w:r>
      <w:r w:rsidR="00864685" w:rsidRPr="001769D8">
        <w:rPr>
          <w:lang w:val="en-GB"/>
        </w:rPr>
        <w:t xml:space="preserve"> </w:t>
      </w:r>
      <w:r w:rsidR="00684E36">
        <w:rPr>
          <w:lang w:val="en-GB"/>
        </w:rPr>
        <w:t>-</w:t>
      </w:r>
      <w:r w:rsidR="00864685" w:rsidRPr="001769D8">
        <w:rPr>
          <w:lang w:val="en-GB"/>
        </w:rPr>
        <w:t xml:space="preserve"> </w:t>
      </w:r>
      <w:r w:rsidR="00F667F9" w:rsidRPr="00F667F9">
        <w:rPr>
          <w:lang w:val="en-GB"/>
        </w:rPr>
        <w:t xml:space="preserve">Georgia, Kobuleti Municipality, Pichvnari. </w:t>
      </w:r>
      <w:r w:rsidRPr="00B01A7F">
        <w:rPr>
          <w:sz w:val="22"/>
          <w:szCs w:val="22"/>
        </w:rPr>
        <w:t>GPS</w:t>
      </w:r>
      <w:r w:rsidRPr="00867F3A">
        <w:rPr>
          <w:sz w:val="22"/>
          <w:szCs w:val="22"/>
        </w:rPr>
        <w:t>:</w:t>
      </w:r>
      <w:r>
        <w:rPr>
          <w:sz w:val="22"/>
          <w:szCs w:val="22"/>
        </w:rPr>
        <w:t xml:space="preserve"> </w:t>
      </w:r>
      <w:r w:rsidRPr="00160066">
        <w:rPr>
          <w:sz w:val="22"/>
          <w:szCs w:val="22"/>
        </w:rPr>
        <w:t>41° 53.291'N 41° 47.241'E</w:t>
      </w:r>
    </w:p>
    <w:p w14:paraId="625F63D6" w14:textId="77777777" w:rsidR="00F667F9" w:rsidRDefault="00864685" w:rsidP="00012EAD">
      <w:pPr>
        <w:spacing w:after="0" w:line="360" w:lineRule="auto"/>
        <w:ind w:firstLine="720"/>
        <w:jc w:val="both"/>
        <w:rPr>
          <w:rFonts w:ascii="Sylfaen" w:hAnsi="Sylfaen"/>
          <w:b/>
          <w:bCs/>
          <w:sz w:val="24"/>
          <w:szCs w:val="24"/>
          <w:lang w:val="en-GB"/>
        </w:rPr>
      </w:pPr>
      <w:r w:rsidRPr="001769D8">
        <w:rPr>
          <w:rFonts w:ascii="Sylfaen" w:hAnsi="Sylfaen"/>
          <w:b/>
          <w:bCs/>
          <w:sz w:val="24"/>
          <w:szCs w:val="24"/>
          <w:lang w:val="en-GB"/>
        </w:rPr>
        <w:t>History of study/research (circumstances of discovery, studies conducted on the monument, researchers working on the monument, bibliography):</w:t>
      </w:r>
    </w:p>
    <w:p w14:paraId="0085E5F5" w14:textId="77777777" w:rsidR="008C4246" w:rsidRDefault="00F667F9" w:rsidP="00012EAD">
      <w:pPr>
        <w:spacing w:after="0" w:line="360" w:lineRule="auto"/>
        <w:ind w:firstLine="720"/>
        <w:jc w:val="both"/>
        <w:rPr>
          <w:rStyle w:val="Strong"/>
          <w:rFonts w:ascii="Sylfaen" w:hAnsi="Sylfaen"/>
          <w:b w:val="0"/>
          <w:bCs w:val="0"/>
          <w:color w:val="000000"/>
          <w:sz w:val="24"/>
          <w:szCs w:val="24"/>
          <w:lang w:val="en-GB"/>
        </w:rPr>
      </w:pPr>
      <w:r w:rsidRPr="00F667F9">
        <w:rPr>
          <w:rStyle w:val="Strong"/>
          <w:rFonts w:ascii="Sylfaen" w:hAnsi="Sylfaen"/>
          <w:color w:val="000000"/>
          <w:sz w:val="24"/>
          <w:szCs w:val="24"/>
          <w:lang w:val="en-GB"/>
        </w:rPr>
        <w:t>Circumstances of Discovery:</w:t>
      </w:r>
      <w:r w:rsidRPr="00F667F9">
        <w:rPr>
          <w:rStyle w:val="apple-converted-space"/>
          <w:rFonts w:ascii="Sylfaen" w:hAnsi="Sylfaen"/>
          <w:color w:val="000000"/>
          <w:sz w:val="24"/>
          <w:szCs w:val="24"/>
          <w:lang w:val="en-GB"/>
        </w:rPr>
        <w:t> </w:t>
      </w:r>
      <w:r w:rsidRPr="00F667F9">
        <w:rPr>
          <w:rFonts w:ascii="Sylfaen" w:hAnsi="Sylfaen"/>
          <w:color w:val="000000"/>
          <w:sz w:val="24"/>
          <w:szCs w:val="24"/>
          <w:lang w:val="en-GB"/>
        </w:rPr>
        <w:t>The archaeological site of Pichvnari first attracted scholarly attention following the accidental discovery of coin hoards in 1941, 1948, and 1952. These finds led to the first reconnaissance investigations in 1953 and 1956 at the ancient hill settlements located between the Choloki and Ochkhamuri rivers. The work was carried out by the archaeological expedition of the Ivane Javakhishvili Institute of History under the direction of archaeologist</w:t>
      </w:r>
      <w:r w:rsidRPr="00F667F9">
        <w:rPr>
          <w:rStyle w:val="apple-converted-space"/>
          <w:rFonts w:ascii="Sylfaen" w:hAnsi="Sylfaen"/>
          <w:color w:val="000000"/>
          <w:sz w:val="24"/>
          <w:szCs w:val="24"/>
          <w:lang w:val="en-GB"/>
        </w:rPr>
        <w:t> </w:t>
      </w:r>
      <w:r w:rsidRPr="00867F3A">
        <w:rPr>
          <w:rStyle w:val="Strong"/>
          <w:rFonts w:ascii="Sylfaen" w:hAnsi="Sylfaen"/>
          <w:color w:val="EE0000"/>
          <w:sz w:val="24"/>
          <w:szCs w:val="24"/>
          <w:lang w:val="en-GB"/>
        </w:rPr>
        <w:t>Nino Khoshtaria</w:t>
      </w:r>
      <w:r w:rsidRPr="00F667F9">
        <w:rPr>
          <w:rFonts w:ascii="Sylfaen" w:hAnsi="Sylfaen"/>
          <w:color w:val="000000"/>
          <w:sz w:val="24"/>
          <w:szCs w:val="24"/>
          <w:lang w:val="en-GB"/>
        </w:rPr>
        <w:t>. The expedition began investigating one of the mounds known locally as</w:t>
      </w:r>
      <w:r w:rsidRPr="00F667F9">
        <w:rPr>
          <w:rStyle w:val="apple-converted-space"/>
          <w:rFonts w:ascii="Sylfaen" w:hAnsi="Sylfaen"/>
          <w:color w:val="000000"/>
          <w:sz w:val="24"/>
          <w:szCs w:val="24"/>
          <w:lang w:val="en-GB"/>
        </w:rPr>
        <w:t> </w:t>
      </w:r>
      <w:r w:rsidRPr="00F667F9">
        <w:rPr>
          <w:rStyle w:val="Strong"/>
          <w:rFonts w:ascii="Sylfaen" w:hAnsi="Sylfaen"/>
          <w:b w:val="0"/>
          <w:bCs w:val="0"/>
          <w:color w:val="000000"/>
          <w:sz w:val="24"/>
          <w:szCs w:val="24"/>
          <w:lang w:val="en-GB"/>
        </w:rPr>
        <w:t>“Namcheduri.”</w:t>
      </w:r>
    </w:p>
    <w:p w14:paraId="2BD399FC" w14:textId="5F24B418" w:rsidR="008C4246" w:rsidRDefault="008C4246" w:rsidP="00012EAD">
      <w:pPr>
        <w:spacing w:after="0" w:line="360" w:lineRule="auto"/>
        <w:ind w:firstLine="720"/>
        <w:jc w:val="both"/>
        <w:rPr>
          <w:rFonts w:ascii="Sylfaen" w:hAnsi="Sylfaen"/>
          <w:color w:val="000000"/>
          <w:sz w:val="24"/>
          <w:szCs w:val="24"/>
          <w:lang w:val="en-GB"/>
        </w:rPr>
      </w:pPr>
      <w:r w:rsidRPr="008C4246">
        <w:rPr>
          <w:rStyle w:val="Strong"/>
          <w:rFonts w:ascii="Sylfaen" w:hAnsi="Sylfaen"/>
          <w:color w:val="000000"/>
          <w:sz w:val="24"/>
          <w:szCs w:val="24"/>
          <w:lang w:val="en-GB"/>
        </w:rPr>
        <w:t>Research Conducted at the Site:</w:t>
      </w:r>
      <w:r w:rsidRPr="008C4246">
        <w:rPr>
          <w:rStyle w:val="apple-converted-space"/>
          <w:rFonts w:ascii="Sylfaen" w:hAnsi="Sylfaen"/>
          <w:color w:val="000000"/>
          <w:sz w:val="24"/>
          <w:szCs w:val="24"/>
          <w:lang w:val="en-GB"/>
        </w:rPr>
        <w:t> </w:t>
      </w:r>
      <w:r w:rsidRPr="008C4246">
        <w:rPr>
          <w:rFonts w:ascii="Sylfaen" w:hAnsi="Sylfaen"/>
          <w:color w:val="000000"/>
          <w:sz w:val="24"/>
          <w:szCs w:val="24"/>
          <w:lang w:val="en-GB"/>
        </w:rPr>
        <w:t>During the 1960s</w:t>
      </w:r>
      <w:r>
        <w:rPr>
          <w:rFonts w:ascii="Sylfaen" w:hAnsi="Sylfaen"/>
          <w:color w:val="000000"/>
          <w:sz w:val="24"/>
          <w:szCs w:val="24"/>
          <w:lang w:val="en-GB"/>
        </w:rPr>
        <w:t xml:space="preserve"> - </w:t>
      </w:r>
      <w:r w:rsidRPr="008C4246">
        <w:rPr>
          <w:rFonts w:ascii="Sylfaen" w:hAnsi="Sylfaen"/>
          <w:color w:val="000000"/>
          <w:sz w:val="24"/>
          <w:szCs w:val="24"/>
          <w:lang w:val="en-GB"/>
        </w:rPr>
        <w:t>1980s, systematic archaeological excavations of the Pichvnari hill</w:t>
      </w:r>
      <w:r>
        <w:rPr>
          <w:rFonts w:ascii="Sylfaen" w:hAnsi="Sylfaen"/>
          <w:color w:val="000000"/>
          <w:sz w:val="24"/>
          <w:szCs w:val="24"/>
          <w:lang w:val="en-GB"/>
        </w:rPr>
        <w:t>top</w:t>
      </w:r>
      <w:r w:rsidRPr="008C4246">
        <w:rPr>
          <w:rFonts w:ascii="Sylfaen" w:hAnsi="Sylfaen"/>
          <w:color w:val="000000"/>
          <w:sz w:val="24"/>
          <w:szCs w:val="24"/>
          <w:lang w:val="en-GB"/>
        </w:rPr>
        <w:t xml:space="preserve"> settlements were carried out by the</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Niko Berdzenishvili Research Institute of Batumi</w:t>
      </w:r>
      <w:r w:rsidRPr="008C4246">
        <w:rPr>
          <w:rFonts w:ascii="Sylfaen" w:hAnsi="Sylfaen"/>
          <w:b/>
          <w:bCs/>
          <w:color w:val="000000"/>
          <w:sz w:val="24"/>
          <w:szCs w:val="24"/>
          <w:lang w:val="en-GB"/>
        </w:rPr>
        <w:t>.</w:t>
      </w:r>
      <w:r w:rsidRPr="008C4246">
        <w:rPr>
          <w:rFonts w:ascii="Sylfaen" w:hAnsi="Sylfaen"/>
          <w:color w:val="000000"/>
          <w:sz w:val="24"/>
          <w:szCs w:val="24"/>
          <w:lang w:val="en-GB"/>
        </w:rPr>
        <w:t xml:space="preserve"> Since 1999, investigations have been continued by the</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Batumi Archaeological Museum (Amiran Kakhidze Archaeological Museum of Ajara)</w:t>
      </w:r>
      <w:r w:rsidRPr="008C4246">
        <w:rPr>
          <w:rStyle w:val="apple-converted-space"/>
          <w:rFonts w:ascii="Sylfaen" w:hAnsi="Sylfaen"/>
          <w:color w:val="000000"/>
          <w:sz w:val="24"/>
          <w:szCs w:val="24"/>
          <w:lang w:val="en-GB"/>
        </w:rPr>
        <w:t> </w:t>
      </w:r>
      <w:r w:rsidRPr="008C4246">
        <w:rPr>
          <w:rFonts w:ascii="Sylfaen" w:hAnsi="Sylfaen"/>
          <w:color w:val="000000"/>
          <w:sz w:val="24"/>
          <w:szCs w:val="24"/>
          <w:lang w:val="en-GB"/>
        </w:rPr>
        <w:t>and the</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Agency for Cultural Heritage Protection of Ajara</w:t>
      </w:r>
      <w:r w:rsidRPr="008C4246">
        <w:rPr>
          <w:rFonts w:ascii="Sylfaen" w:hAnsi="Sylfaen"/>
          <w:b/>
          <w:bCs/>
          <w:color w:val="000000"/>
          <w:sz w:val="24"/>
          <w:szCs w:val="24"/>
          <w:lang w:val="en-GB"/>
        </w:rPr>
        <w:t>.</w:t>
      </w:r>
      <w:r w:rsidRPr="008C4246">
        <w:rPr>
          <w:rFonts w:ascii="Sylfaen" w:hAnsi="Sylfaen"/>
          <w:color w:val="000000"/>
          <w:sz w:val="24"/>
          <w:szCs w:val="24"/>
          <w:lang w:val="en-GB"/>
        </w:rPr>
        <w:t xml:space="preserve"> At various times, the site was studied by archaeologists</w:t>
      </w:r>
      <w:r w:rsidRPr="008C4246">
        <w:rPr>
          <w:rStyle w:val="apple-converted-space"/>
          <w:rFonts w:ascii="Sylfaen" w:hAnsi="Sylfaen"/>
          <w:color w:val="000000"/>
          <w:sz w:val="24"/>
          <w:szCs w:val="24"/>
          <w:lang w:val="en-GB"/>
        </w:rPr>
        <w:t> </w:t>
      </w:r>
      <w:r w:rsidRPr="00867F3A">
        <w:rPr>
          <w:rStyle w:val="Strong"/>
          <w:rFonts w:ascii="Sylfaen" w:hAnsi="Sylfaen"/>
          <w:color w:val="EE0000"/>
          <w:sz w:val="24"/>
          <w:szCs w:val="24"/>
          <w:lang w:val="en-GB"/>
        </w:rPr>
        <w:t>David Khakhutaishvili</w:t>
      </w:r>
      <w:r w:rsidRPr="008C4246">
        <w:rPr>
          <w:rFonts w:ascii="Sylfaen" w:hAnsi="Sylfaen"/>
          <w:b/>
          <w:bCs/>
          <w:color w:val="000000"/>
          <w:sz w:val="24"/>
          <w:szCs w:val="24"/>
          <w:lang w:val="en-GB"/>
        </w:rPr>
        <w:t>,</w:t>
      </w:r>
      <w:r w:rsidRPr="008C4246">
        <w:rPr>
          <w:rStyle w:val="apple-converted-space"/>
          <w:rFonts w:ascii="Sylfaen" w:hAnsi="Sylfaen"/>
          <w:b/>
          <w:bCs/>
          <w:color w:val="000000"/>
          <w:sz w:val="24"/>
          <w:szCs w:val="24"/>
          <w:lang w:val="en-GB"/>
        </w:rPr>
        <w:t> </w:t>
      </w:r>
      <w:r w:rsidRPr="00867F3A">
        <w:rPr>
          <w:rStyle w:val="Strong"/>
          <w:rFonts w:ascii="Sylfaen" w:hAnsi="Sylfaen"/>
          <w:color w:val="EE0000"/>
          <w:sz w:val="24"/>
          <w:szCs w:val="24"/>
          <w:lang w:val="en-GB"/>
        </w:rPr>
        <w:t>Amiran Kakhidze</w:t>
      </w:r>
      <w:r w:rsidRPr="008C4246">
        <w:rPr>
          <w:rFonts w:ascii="Sylfaen" w:hAnsi="Sylfaen"/>
          <w:color w:val="000000"/>
          <w:sz w:val="24"/>
          <w:szCs w:val="24"/>
          <w:lang w:val="en-GB"/>
        </w:rPr>
        <w:t>, and</w:t>
      </w:r>
      <w:r w:rsidRPr="008C4246">
        <w:rPr>
          <w:rStyle w:val="apple-converted-space"/>
          <w:rFonts w:ascii="Sylfaen" w:hAnsi="Sylfaen"/>
          <w:color w:val="000000"/>
          <w:sz w:val="24"/>
          <w:szCs w:val="24"/>
          <w:lang w:val="en-GB"/>
        </w:rPr>
        <w:t> </w:t>
      </w:r>
      <w:r w:rsidRPr="00867F3A">
        <w:rPr>
          <w:rStyle w:val="Strong"/>
          <w:rFonts w:ascii="Sylfaen" w:hAnsi="Sylfaen"/>
          <w:color w:val="EE0000"/>
          <w:sz w:val="24"/>
          <w:szCs w:val="24"/>
          <w:lang w:val="en-GB"/>
        </w:rPr>
        <w:t>Irakli Chavleishvili</w:t>
      </w:r>
      <w:r w:rsidRPr="008C4246">
        <w:rPr>
          <w:rFonts w:ascii="Sylfaen" w:hAnsi="Sylfaen"/>
          <w:color w:val="000000"/>
          <w:sz w:val="24"/>
          <w:szCs w:val="24"/>
          <w:lang w:val="en-GB"/>
        </w:rPr>
        <w:t>. The graphic documentation of the site and its artifacts is closely associated with</w:t>
      </w:r>
      <w:r w:rsidRPr="008C4246">
        <w:rPr>
          <w:rStyle w:val="apple-converted-space"/>
          <w:rFonts w:ascii="Sylfaen" w:hAnsi="Sylfaen"/>
          <w:color w:val="000000"/>
          <w:sz w:val="24"/>
          <w:szCs w:val="24"/>
          <w:lang w:val="en-GB"/>
        </w:rPr>
        <w:t> </w:t>
      </w:r>
      <w:r w:rsidRPr="00867F3A">
        <w:rPr>
          <w:rStyle w:val="Strong"/>
          <w:rFonts w:ascii="Sylfaen" w:hAnsi="Sylfaen"/>
          <w:color w:val="EE0000"/>
          <w:sz w:val="24"/>
          <w:szCs w:val="24"/>
          <w:lang w:val="en-GB"/>
        </w:rPr>
        <w:t>Anzor Javelidze</w:t>
      </w:r>
      <w:r w:rsidRPr="008C4246">
        <w:rPr>
          <w:rFonts w:ascii="Sylfaen" w:hAnsi="Sylfaen"/>
          <w:color w:val="000000"/>
          <w:sz w:val="24"/>
          <w:szCs w:val="24"/>
          <w:lang w:val="en-GB"/>
        </w:rPr>
        <w:t>, artist and architect.</w:t>
      </w:r>
    </w:p>
    <w:p w14:paraId="6FC711F1" w14:textId="77777777" w:rsidR="00684E36" w:rsidRDefault="008C4246" w:rsidP="00012EAD">
      <w:pPr>
        <w:spacing w:after="0" w:line="360" w:lineRule="auto"/>
        <w:ind w:firstLine="720"/>
        <w:jc w:val="both"/>
        <w:rPr>
          <w:rFonts w:ascii="Sylfaen" w:hAnsi="Sylfaen"/>
          <w:color w:val="000000"/>
          <w:sz w:val="24"/>
          <w:szCs w:val="24"/>
          <w:lang w:val="en-GB"/>
        </w:rPr>
      </w:pPr>
      <w:r w:rsidRPr="008C4246">
        <w:rPr>
          <w:rFonts w:ascii="Sylfaen" w:hAnsi="Sylfaen"/>
          <w:color w:val="000000"/>
          <w:sz w:val="24"/>
          <w:szCs w:val="24"/>
          <w:lang w:val="en-GB"/>
        </w:rPr>
        <w:t>Between</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1960 and 1961</w:t>
      </w:r>
      <w:r w:rsidRPr="008C4246">
        <w:rPr>
          <w:rFonts w:ascii="Sylfaen" w:hAnsi="Sylfaen"/>
          <w:color w:val="000000"/>
          <w:sz w:val="24"/>
          <w:szCs w:val="24"/>
          <w:lang w:val="en-GB"/>
        </w:rPr>
        <w:t>, small-scale archaeological investigations were carried out at the site. Several trial trenches were opened, and surface material was collected. In</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1962</w:t>
      </w:r>
      <w:r w:rsidRPr="008C4246">
        <w:rPr>
          <w:rFonts w:ascii="Sylfaen" w:hAnsi="Sylfaen"/>
          <w:color w:val="000000"/>
          <w:sz w:val="24"/>
          <w:szCs w:val="24"/>
          <w:lang w:val="en-GB"/>
        </w:rPr>
        <w:t xml:space="preserve">, the approximate boundaries of the settlement were established. A schematic topographic plan was </w:t>
      </w:r>
      <w:r w:rsidRPr="008C4246">
        <w:rPr>
          <w:rFonts w:ascii="Sylfaen" w:hAnsi="Sylfaen"/>
          <w:color w:val="000000"/>
          <w:sz w:val="24"/>
          <w:szCs w:val="24"/>
          <w:lang w:val="en-GB"/>
        </w:rPr>
        <w:lastRenderedPageBreak/>
        <w:t>prepared in</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1963</w:t>
      </w:r>
      <w:r w:rsidRPr="008C4246">
        <w:rPr>
          <w:rFonts w:ascii="Sylfaen" w:hAnsi="Sylfaen"/>
          <w:color w:val="000000"/>
          <w:sz w:val="24"/>
          <w:szCs w:val="24"/>
          <w:lang w:val="en-GB"/>
        </w:rPr>
        <w:t>, and limited excavations were conducted during the same year. The site was divided into several sectors, the central hill settlement being</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“Namcheduri”</w:t>
      </w:r>
      <w:r w:rsidRPr="008C4246">
        <w:rPr>
          <w:rStyle w:val="apple-converted-space"/>
          <w:rFonts w:ascii="Sylfaen" w:hAnsi="Sylfaen"/>
          <w:color w:val="000000"/>
          <w:sz w:val="24"/>
          <w:szCs w:val="24"/>
          <w:lang w:val="en-GB"/>
        </w:rPr>
        <w:t> </w:t>
      </w:r>
      <w:r w:rsidRPr="008C4246">
        <w:rPr>
          <w:rFonts w:ascii="Sylfaen" w:hAnsi="Sylfaen"/>
          <w:color w:val="000000"/>
          <w:sz w:val="24"/>
          <w:szCs w:val="24"/>
          <w:lang w:val="en-GB"/>
        </w:rPr>
        <w:t>(Tab. I), which is the best-studied area of the complex. As a result of investigations conducted in</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1964</w:t>
      </w:r>
      <w:r>
        <w:rPr>
          <w:rStyle w:val="Strong"/>
          <w:rFonts w:ascii="Sylfaen" w:hAnsi="Sylfaen"/>
          <w:b w:val="0"/>
          <w:bCs w:val="0"/>
          <w:color w:val="000000"/>
          <w:sz w:val="24"/>
          <w:szCs w:val="24"/>
          <w:lang w:val="en-GB"/>
        </w:rPr>
        <w:t xml:space="preserve"> - </w:t>
      </w:r>
      <w:r w:rsidRPr="008C4246">
        <w:rPr>
          <w:rStyle w:val="Strong"/>
          <w:rFonts w:ascii="Sylfaen" w:hAnsi="Sylfaen"/>
          <w:b w:val="0"/>
          <w:bCs w:val="0"/>
          <w:color w:val="000000"/>
          <w:sz w:val="24"/>
          <w:szCs w:val="24"/>
          <w:lang w:val="en-GB"/>
        </w:rPr>
        <w:t>1965</w:t>
      </w:r>
      <w:r w:rsidRPr="008C4246">
        <w:rPr>
          <w:rStyle w:val="apple-converted-space"/>
          <w:rFonts w:ascii="Sylfaen" w:hAnsi="Sylfaen"/>
          <w:color w:val="000000"/>
          <w:sz w:val="24"/>
          <w:szCs w:val="24"/>
          <w:lang w:val="en-GB"/>
        </w:rPr>
        <w:t> </w:t>
      </w:r>
      <w:r w:rsidRPr="008C4246">
        <w:rPr>
          <w:rFonts w:ascii="Sylfaen" w:hAnsi="Sylfaen"/>
          <w:color w:val="000000"/>
          <w:sz w:val="24"/>
          <w:szCs w:val="24"/>
          <w:lang w:val="en-GB"/>
        </w:rPr>
        <w:t>and during the</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1970s</w:t>
      </w:r>
      <w:r>
        <w:rPr>
          <w:rStyle w:val="Strong"/>
          <w:rFonts w:ascii="Sylfaen" w:hAnsi="Sylfaen"/>
          <w:b w:val="0"/>
          <w:bCs w:val="0"/>
          <w:color w:val="000000"/>
          <w:sz w:val="24"/>
          <w:szCs w:val="24"/>
          <w:lang w:val="en-GB"/>
        </w:rPr>
        <w:t xml:space="preserve"> -</w:t>
      </w:r>
      <w:r w:rsidRPr="008C4246">
        <w:rPr>
          <w:rStyle w:val="Strong"/>
          <w:rFonts w:ascii="Sylfaen" w:hAnsi="Sylfaen"/>
          <w:b w:val="0"/>
          <w:bCs w:val="0"/>
          <w:color w:val="000000"/>
          <w:sz w:val="24"/>
          <w:szCs w:val="24"/>
          <w:lang w:val="en-GB"/>
        </w:rPr>
        <w:t>1980s</w:t>
      </w:r>
      <w:r w:rsidRPr="008C4246">
        <w:rPr>
          <w:rFonts w:ascii="Sylfaen" w:hAnsi="Sylfaen"/>
          <w:color w:val="000000"/>
          <w:sz w:val="24"/>
          <w:szCs w:val="24"/>
          <w:lang w:val="en-GB"/>
        </w:rPr>
        <w:t>, six cultural layers were identified at Namcheduri, spanning the period from the second half of the</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2</w:t>
      </w:r>
      <w:r w:rsidRPr="008C4246">
        <w:rPr>
          <w:rStyle w:val="Strong"/>
          <w:rFonts w:ascii="Sylfaen" w:hAnsi="Sylfaen"/>
          <w:b w:val="0"/>
          <w:bCs w:val="0"/>
          <w:color w:val="000000"/>
          <w:sz w:val="24"/>
          <w:szCs w:val="24"/>
          <w:vertAlign w:val="superscript"/>
          <w:lang w:val="en-GB"/>
        </w:rPr>
        <w:t>nd</w:t>
      </w:r>
      <w:r w:rsidRPr="008C4246">
        <w:rPr>
          <w:rStyle w:val="Strong"/>
          <w:rFonts w:ascii="Sylfaen" w:hAnsi="Sylfaen"/>
          <w:b w:val="0"/>
          <w:bCs w:val="0"/>
          <w:color w:val="000000"/>
          <w:sz w:val="24"/>
          <w:szCs w:val="24"/>
          <w:lang w:val="en-GB"/>
        </w:rPr>
        <w:t xml:space="preserve"> millennium BC</w:t>
      </w:r>
      <w:r w:rsidRPr="008C4246">
        <w:rPr>
          <w:rStyle w:val="apple-converted-space"/>
          <w:rFonts w:ascii="Sylfaen" w:hAnsi="Sylfaen"/>
          <w:color w:val="000000"/>
          <w:sz w:val="24"/>
          <w:szCs w:val="24"/>
          <w:lang w:val="en-GB"/>
        </w:rPr>
        <w:t> </w:t>
      </w:r>
      <w:r w:rsidRPr="008C4246">
        <w:rPr>
          <w:rFonts w:ascii="Sylfaen" w:hAnsi="Sylfaen"/>
          <w:color w:val="000000"/>
          <w:sz w:val="24"/>
          <w:szCs w:val="24"/>
          <w:lang w:val="en-GB"/>
        </w:rPr>
        <w:t>to the</w:t>
      </w:r>
      <w:r w:rsidRPr="008C4246">
        <w:rPr>
          <w:rStyle w:val="apple-converted-space"/>
          <w:rFonts w:ascii="Sylfaen" w:hAnsi="Sylfaen"/>
          <w:color w:val="000000"/>
          <w:sz w:val="24"/>
          <w:szCs w:val="24"/>
          <w:lang w:val="en-GB"/>
        </w:rPr>
        <w:t> </w:t>
      </w:r>
      <w:r w:rsidRPr="008C4246">
        <w:rPr>
          <w:rStyle w:val="Strong"/>
          <w:rFonts w:ascii="Sylfaen" w:hAnsi="Sylfaen"/>
          <w:b w:val="0"/>
          <w:bCs w:val="0"/>
          <w:color w:val="000000"/>
          <w:sz w:val="24"/>
          <w:szCs w:val="24"/>
          <w:lang w:val="en-GB"/>
        </w:rPr>
        <w:t>1</w:t>
      </w:r>
      <w:r w:rsidRPr="008C4246">
        <w:rPr>
          <w:rStyle w:val="Strong"/>
          <w:rFonts w:ascii="Sylfaen" w:hAnsi="Sylfaen"/>
          <w:b w:val="0"/>
          <w:bCs w:val="0"/>
          <w:color w:val="000000"/>
          <w:sz w:val="24"/>
          <w:szCs w:val="24"/>
          <w:vertAlign w:val="superscript"/>
          <w:lang w:val="en-GB"/>
        </w:rPr>
        <w:t>st</w:t>
      </w:r>
      <w:r w:rsidRPr="008C4246">
        <w:rPr>
          <w:rStyle w:val="Strong"/>
          <w:rFonts w:ascii="Sylfaen" w:hAnsi="Sylfaen"/>
          <w:b w:val="0"/>
          <w:bCs w:val="0"/>
          <w:color w:val="000000"/>
          <w:sz w:val="24"/>
          <w:szCs w:val="24"/>
          <w:lang w:val="en-GB"/>
        </w:rPr>
        <w:t xml:space="preserve"> millennium BC</w:t>
      </w:r>
      <w:r w:rsidRPr="008C4246">
        <w:rPr>
          <w:rFonts w:ascii="Sylfaen" w:hAnsi="Sylfaen"/>
          <w:color w:val="000000"/>
          <w:sz w:val="24"/>
          <w:szCs w:val="24"/>
          <w:lang w:val="en-GB"/>
        </w:rPr>
        <w:t>. Surrounding Namcheduri are a number of settlements situated on both large and small mounds, encircled by artificial ditches. These settlements are likewise characterized by multiple cultural layers.</w:t>
      </w:r>
    </w:p>
    <w:p w14:paraId="43083523" w14:textId="77777777" w:rsidR="0087305E" w:rsidRPr="00684E36" w:rsidRDefault="00684E36" w:rsidP="00012EAD">
      <w:pPr>
        <w:spacing w:after="0" w:line="360" w:lineRule="auto"/>
        <w:ind w:firstLine="720"/>
        <w:jc w:val="both"/>
        <w:rPr>
          <w:rFonts w:ascii="Sylfaen" w:hAnsi="Sylfaen"/>
          <w:color w:val="000000"/>
          <w:sz w:val="28"/>
          <w:szCs w:val="28"/>
          <w:lang w:val="en-GB"/>
        </w:rPr>
      </w:pPr>
      <w:r w:rsidRPr="00684E36">
        <w:rPr>
          <w:rFonts w:ascii="Sylfaen" w:hAnsi="Sylfaen"/>
          <w:color w:val="000000"/>
          <w:sz w:val="24"/>
          <w:szCs w:val="24"/>
          <w:lang w:val="en-GB"/>
        </w:rPr>
        <w:t>The site has yielded the remains of</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residential and economic structures</w:t>
      </w:r>
      <w:r w:rsidRPr="00684E36">
        <w:rPr>
          <w:rStyle w:val="apple-converted-space"/>
          <w:rFonts w:ascii="Sylfaen" w:hAnsi="Sylfaen"/>
          <w:color w:val="000000"/>
          <w:sz w:val="24"/>
          <w:szCs w:val="24"/>
          <w:lang w:val="en-GB"/>
        </w:rPr>
        <w:t> </w:t>
      </w:r>
      <w:r w:rsidRPr="00684E36">
        <w:rPr>
          <w:rFonts w:ascii="Sylfaen" w:hAnsi="Sylfaen"/>
          <w:color w:val="000000"/>
          <w:sz w:val="24"/>
          <w:szCs w:val="24"/>
          <w:lang w:val="en-GB"/>
        </w:rPr>
        <w:t>(</w:t>
      </w:r>
      <w:r w:rsidRPr="00867F3A">
        <w:rPr>
          <w:rFonts w:ascii="Sylfaen" w:hAnsi="Sylfaen"/>
          <w:color w:val="4472C4" w:themeColor="accent1"/>
          <w:sz w:val="24"/>
          <w:szCs w:val="24"/>
          <w:lang w:val="en-GB"/>
        </w:rPr>
        <w:t>Tabs. I/1,2; III/1</w:t>
      </w:r>
      <w:r w:rsidRPr="00684E36">
        <w:rPr>
          <w:rFonts w:ascii="Sylfaen" w:hAnsi="Sylfaen"/>
          <w:color w:val="000000"/>
          <w:sz w:val="24"/>
          <w:szCs w:val="24"/>
          <w:lang w:val="en-GB"/>
        </w:rPr>
        <w:t>), a</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metallurgical workshop</w:t>
      </w:r>
      <w:r>
        <w:rPr>
          <w:rStyle w:val="Strong"/>
          <w:rFonts w:ascii="Sylfaen" w:hAnsi="Sylfaen"/>
          <w:color w:val="000000"/>
          <w:sz w:val="24"/>
          <w:szCs w:val="24"/>
          <w:lang w:val="en-GB"/>
        </w:rPr>
        <w:t xml:space="preserve"> </w:t>
      </w:r>
      <w:r w:rsidRPr="00684E36">
        <w:rPr>
          <w:rFonts w:ascii="Sylfaen" w:hAnsi="Sylfaen"/>
          <w:color w:val="000000"/>
          <w:sz w:val="24"/>
          <w:szCs w:val="24"/>
          <w:lang w:val="en-GB"/>
        </w:rPr>
        <w:t>(</w:t>
      </w:r>
      <w:r w:rsidRPr="00867F3A">
        <w:rPr>
          <w:rFonts w:ascii="Sylfaen" w:hAnsi="Sylfaen"/>
          <w:color w:val="4472C4" w:themeColor="accent1"/>
          <w:sz w:val="24"/>
          <w:szCs w:val="24"/>
          <w:lang w:val="en-GB"/>
        </w:rPr>
        <w:t>Tab. III/2</w:t>
      </w:r>
      <w:r w:rsidRPr="00684E36">
        <w:rPr>
          <w:rFonts w:ascii="Sylfaen" w:hAnsi="Sylfaen"/>
          <w:color w:val="000000"/>
          <w:sz w:val="24"/>
          <w:szCs w:val="24"/>
          <w:lang w:val="en-GB"/>
        </w:rPr>
        <w:t>), and a rich and diverse assemblage of artifacts related to domestic, economic, and cultic activities (</w:t>
      </w:r>
      <w:r w:rsidRPr="00867F3A">
        <w:rPr>
          <w:rFonts w:ascii="Sylfaen" w:hAnsi="Sylfaen"/>
          <w:color w:val="4472C4" w:themeColor="accent1"/>
          <w:sz w:val="24"/>
          <w:szCs w:val="24"/>
          <w:lang w:val="en-GB"/>
        </w:rPr>
        <w:t>Tabs. IV, V, VI</w:t>
      </w:r>
      <w:r w:rsidRPr="00684E36">
        <w:rPr>
          <w:rFonts w:ascii="Sylfaen" w:hAnsi="Sylfaen"/>
          <w:color w:val="000000"/>
          <w:sz w:val="24"/>
          <w:szCs w:val="24"/>
          <w:lang w:val="en-GB"/>
        </w:rPr>
        <w:t>). These finds provide valuable evidence for the social, economic, and cultural processes that took place at Pichvnari during the</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Late Bronze-Early Iron Age</w:t>
      </w:r>
      <w:r w:rsidRPr="00684E36">
        <w:rPr>
          <w:rStyle w:val="apple-converted-space"/>
          <w:rFonts w:ascii="Sylfaen" w:hAnsi="Sylfaen"/>
          <w:color w:val="000000"/>
          <w:sz w:val="24"/>
          <w:szCs w:val="24"/>
          <w:lang w:val="en-GB"/>
        </w:rPr>
        <w:t> </w:t>
      </w:r>
      <w:r w:rsidRPr="00684E36">
        <w:rPr>
          <w:rFonts w:ascii="Sylfaen" w:hAnsi="Sylfaen"/>
          <w:color w:val="000000"/>
          <w:sz w:val="24"/>
          <w:szCs w:val="24"/>
          <w:lang w:val="en-GB"/>
        </w:rPr>
        <w:t>and the</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Classical period</w:t>
      </w:r>
      <w:r w:rsidRPr="00684E36">
        <w:rPr>
          <w:rFonts w:ascii="Sylfaen" w:hAnsi="Sylfaen"/>
          <w:color w:val="000000"/>
          <w:sz w:val="24"/>
          <w:szCs w:val="24"/>
          <w:lang w:val="en-GB"/>
        </w:rPr>
        <w:t>, as well as its connections with the wider world. The evidence indicates that, during the</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2</w:t>
      </w:r>
      <w:r w:rsidRPr="00684E36">
        <w:rPr>
          <w:rStyle w:val="Strong"/>
          <w:rFonts w:ascii="Sylfaen" w:hAnsi="Sylfaen"/>
          <w:b w:val="0"/>
          <w:bCs w:val="0"/>
          <w:color w:val="000000"/>
          <w:sz w:val="24"/>
          <w:szCs w:val="24"/>
          <w:vertAlign w:val="superscript"/>
          <w:lang w:val="en-GB"/>
        </w:rPr>
        <w:t>nd</w:t>
      </w:r>
      <w:r w:rsidRPr="00684E36">
        <w:rPr>
          <w:rStyle w:val="Strong"/>
          <w:rFonts w:ascii="Sylfaen" w:hAnsi="Sylfaen"/>
          <w:b w:val="0"/>
          <w:bCs w:val="0"/>
          <w:color w:val="000000"/>
          <w:sz w:val="24"/>
          <w:szCs w:val="24"/>
          <w:lang w:val="en-GB"/>
        </w:rPr>
        <w:t xml:space="preserve"> millennium BC</w:t>
      </w:r>
      <w:r w:rsidRPr="00684E36">
        <w:rPr>
          <w:rFonts w:ascii="Sylfaen" w:hAnsi="Sylfaen"/>
          <w:color w:val="000000"/>
          <w:sz w:val="24"/>
          <w:szCs w:val="24"/>
          <w:lang w:val="en-GB"/>
        </w:rPr>
        <w:t>, a number of communal, proto-urban settlements emerged in the confluence zone of the</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Choloki</w:t>
      </w:r>
      <w:r w:rsidRPr="00684E36">
        <w:rPr>
          <w:rStyle w:val="apple-converted-space"/>
          <w:rFonts w:ascii="Sylfaen" w:hAnsi="Sylfaen"/>
          <w:color w:val="000000"/>
          <w:sz w:val="24"/>
          <w:szCs w:val="24"/>
          <w:lang w:val="en-GB"/>
        </w:rPr>
        <w:t> </w:t>
      </w:r>
      <w:r w:rsidRPr="00684E36">
        <w:rPr>
          <w:rFonts w:ascii="Sylfaen" w:hAnsi="Sylfaen"/>
          <w:color w:val="000000"/>
          <w:sz w:val="24"/>
          <w:szCs w:val="24"/>
          <w:lang w:val="en-GB"/>
        </w:rPr>
        <w:t>and</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Ochkhamuri</w:t>
      </w:r>
      <w:r w:rsidRPr="00684E36">
        <w:rPr>
          <w:rStyle w:val="apple-converted-space"/>
          <w:rFonts w:ascii="Sylfaen" w:hAnsi="Sylfaen"/>
          <w:color w:val="000000"/>
          <w:sz w:val="24"/>
          <w:szCs w:val="24"/>
          <w:lang w:val="en-GB"/>
        </w:rPr>
        <w:t> </w:t>
      </w:r>
      <w:r w:rsidRPr="00684E36">
        <w:rPr>
          <w:rFonts w:ascii="Sylfaen" w:hAnsi="Sylfaen"/>
          <w:color w:val="000000"/>
          <w:sz w:val="24"/>
          <w:szCs w:val="24"/>
          <w:lang w:val="en-GB"/>
        </w:rPr>
        <w:t>rivers (</w:t>
      </w:r>
      <w:r w:rsidRPr="00867F3A">
        <w:rPr>
          <w:rFonts w:ascii="Sylfaen" w:hAnsi="Sylfaen"/>
          <w:color w:val="4472C4" w:themeColor="accent1"/>
          <w:sz w:val="24"/>
          <w:szCs w:val="24"/>
          <w:lang w:val="en-GB"/>
        </w:rPr>
        <w:t>Tab. II</w:t>
      </w:r>
      <w:r w:rsidRPr="00684E36">
        <w:rPr>
          <w:rFonts w:ascii="Sylfaen" w:hAnsi="Sylfaen"/>
          <w:color w:val="000000"/>
          <w:sz w:val="24"/>
          <w:szCs w:val="24"/>
          <w:lang w:val="en-GB"/>
        </w:rPr>
        <w:t>). By the</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8</w:t>
      </w:r>
      <w:r w:rsidRPr="00684E36">
        <w:rPr>
          <w:rStyle w:val="Strong"/>
          <w:rFonts w:ascii="Sylfaen" w:hAnsi="Sylfaen"/>
          <w:b w:val="0"/>
          <w:bCs w:val="0"/>
          <w:color w:val="000000"/>
          <w:sz w:val="24"/>
          <w:szCs w:val="24"/>
          <w:vertAlign w:val="superscript"/>
          <w:lang w:val="en-GB"/>
        </w:rPr>
        <w:t>th</w:t>
      </w:r>
      <w:r w:rsidRPr="00684E36">
        <w:rPr>
          <w:rStyle w:val="Strong"/>
          <w:rFonts w:ascii="Sylfaen" w:hAnsi="Sylfaen"/>
          <w:b w:val="0"/>
          <w:bCs w:val="0"/>
          <w:color w:val="000000"/>
          <w:sz w:val="24"/>
          <w:szCs w:val="24"/>
          <w:lang w:val="en-GB"/>
        </w:rPr>
        <w:t>-7</w:t>
      </w:r>
      <w:r w:rsidRPr="00684E36">
        <w:rPr>
          <w:rStyle w:val="Strong"/>
          <w:rFonts w:ascii="Sylfaen" w:hAnsi="Sylfaen"/>
          <w:b w:val="0"/>
          <w:bCs w:val="0"/>
          <w:color w:val="000000"/>
          <w:sz w:val="24"/>
          <w:szCs w:val="24"/>
          <w:vertAlign w:val="superscript"/>
          <w:lang w:val="en-GB"/>
        </w:rPr>
        <w:t>th</w:t>
      </w:r>
      <w:r w:rsidRPr="00684E36">
        <w:rPr>
          <w:rStyle w:val="Strong"/>
          <w:rFonts w:ascii="Sylfaen" w:hAnsi="Sylfaen"/>
          <w:b w:val="0"/>
          <w:bCs w:val="0"/>
          <w:color w:val="000000"/>
          <w:sz w:val="24"/>
          <w:szCs w:val="24"/>
          <w:lang w:val="en-GB"/>
        </w:rPr>
        <w:t xml:space="preserve"> centuries BC</w:t>
      </w:r>
      <w:r w:rsidRPr="00684E36">
        <w:rPr>
          <w:rFonts w:ascii="Sylfaen" w:hAnsi="Sylfaen"/>
          <w:color w:val="000000"/>
          <w:sz w:val="24"/>
          <w:szCs w:val="24"/>
          <w:lang w:val="en-GB"/>
        </w:rPr>
        <w:t>, these settlements had expanded beyond the river confluence area to encompass the territory extending from the rivers to the</w:t>
      </w:r>
      <w:r w:rsidRPr="00684E36">
        <w:rPr>
          <w:rStyle w:val="apple-converted-space"/>
          <w:rFonts w:ascii="Sylfaen" w:hAnsi="Sylfaen"/>
          <w:color w:val="000000"/>
          <w:sz w:val="24"/>
          <w:szCs w:val="24"/>
          <w:lang w:val="en-GB"/>
        </w:rPr>
        <w:t> </w:t>
      </w:r>
      <w:r w:rsidRPr="00684E36">
        <w:rPr>
          <w:rStyle w:val="Strong"/>
          <w:rFonts w:ascii="Sylfaen" w:hAnsi="Sylfaen"/>
          <w:b w:val="0"/>
          <w:bCs w:val="0"/>
          <w:color w:val="000000"/>
          <w:sz w:val="24"/>
          <w:szCs w:val="24"/>
          <w:lang w:val="en-GB"/>
        </w:rPr>
        <w:t>New Black Sea terrace</w:t>
      </w:r>
      <w:r w:rsidRPr="00684E36">
        <w:rPr>
          <w:rFonts w:ascii="Sylfaen" w:hAnsi="Sylfaen"/>
          <w:color w:val="000000"/>
          <w:sz w:val="24"/>
          <w:szCs w:val="24"/>
          <w:lang w:val="en-GB"/>
        </w:rPr>
        <w:t>. It has been suggested that this settlement developed into an urban-type center during the Classical period.</w:t>
      </w:r>
    </w:p>
    <w:p w14:paraId="2CEB5536" w14:textId="77777777" w:rsidR="00062D62" w:rsidRDefault="00062D62" w:rsidP="00012EAD">
      <w:pPr>
        <w:spacing w:after="0" w:line="360" w:lineRule="auto"/>
        <w:ind w:firstLine="720"/>
        <w:jc w:val="both"/>
        <w:rPr>
          <w:rFonts w:ascii="Sylfaen" w:hAnsi="Sylfaen"/>
          <w:color w:val="000000"/>
          <w:sz w:val="24"/>
          <w:szCs w:val="24"/>
          <w:lang w:val="en-GB"/>
        </w:rPr>
      </w:pPr>
    </w:p>
    <w:p w14:paraId="5B30B5C2" w14:textId="77777777" w:rsidR="00593C8C" w:rsidRPr="001769D8" w:rsidRDefault="00593C8C" w:rsidP="00012EAD">
      <w:pPr>
        <w:spacing w:after="0" w:line="360" w:lineRule="auto"/>
        <w:ind w:firstLine="720"/>
        <w:jc w:val="both"/>
        <w:rPr>
          <w:rFonts w:ascii="Sylfaen" w:hAnsi="Sylfaen"/>
          <w:color w:val="000000"/>
          <w:sz w:val="24"/>
          <w:szCs w:val="24"/>
          <w:lang w:val="en-GB"/>
        </w:rPr>
      </w:pPr>
      <w:r w:rsidRPr="001769D8">
        <w:rPr>
          <w:rFonts w:ascii="Sylfaen" w:hAnsi="Sylfaen"/>
          <w:b/>
          <w:bCs/>
          <w:color w:val="000000"/>
          <w:sz w:val="24"/>
          <w:szCs w:val="24"/>
          <w:lang w:val="en-GB"/>
        </w:rPr>
        <w:t>Bibliography</w:t>
      </w:r>
      <w:r w:rsidRPr="001769D8">
        <w:rPr>
          <w:rFonts w:ascii="Sylfaen" w:hAnsi="Sylfaen"/>
          <w:color w:val="000000"/>
          <w:sz w:val="24"/>
          <w:szCs w:val="24"/>
          <w:lang w:val="en-GB"/>
        </w:rPr>
        <w:t xml:space="preserve">: </w:t>
      </w:r>
    </w:p>
    <w:p w14:paraId="76B9B5B4" w14:textId="77777777" w:rsidR="00684E36" w:rsidRPr="00684E36" w:rsidRDefault="00684E36" w:rsidP="00012EAD">
      <w:pPr>
        <w:spacing w:after="0" w:line="360" w:lineRule="auto"/>
        <w:ind w:firstLine="720"/>
        <w:jc w:val="both"/>
        <w:rPr>
          <w:rFonts w:ascii="Sylfaen" w:hAnsi="Sylfaen"/>
          <w:sz w:val="24"/>
          <w:szCs w:val="24"/>
          <w:lang w:val="en-GB"/>
        </w:rPr>
      </w:pPr>
      <w:r w:rsidRPr="00684E36">
        <w:rPr>
          <w:rFonts w:ascii="Sylfaen" w:hAnsi="Sylfaen"/>
          <w:sz w:val="24"/>
          <w:szCs w:val="24"/>
          <w:lang w:val="en-GB"/>
        </w:rPr>
        <w:t xml:space="preserve">1. </w:t>
      </w:r>
      <w:r w:rsidRPr="00867F3A">
        <w:rPr>
          <w:rFonts w:ascii="Sylfaen" w:hAnsi="Sylfaen"/>
          <w:b/>
          <w:bCs/>
          <w:sz w:val="24"/>
          <w:szCs w:val="24"/>
          <w:lang w:val="en-GB"/>
        </w:rPr>
        <w:t>Kakhidze A.,</w:t>
      </w:r>
      <w:r w:rsidRPr="00684E36">
        <w:rPr>
          <w:rFonts w:ascii="Sylfaen" w:hAnsi="Sylfaen"/>
          <w:sz w:val="24"/>
          <w:szCs w:val="24"/>
          <w:lang w:val="en-GB"/>
        </w:rPr>
        <w:t xml:space="preserve"> Ancient Cities of the Coast of Georgia, Tbilisi, 1971.</w:t>
      </w:r>
    </w:p>
    <w:p w14:paraId="4D7CBF9D" w14:textId="16FD16FF" w:rsidR="00684E36" w:rsidRPr="00684E36" w:rsidRDefault="00684E36" w:rsidP="00012EAD">
      <w:pPr>
        <w:spacing w:after="0" w:line="360" w:lineRule="auto"/>
        <w:ind w:firstLine="720"/>
        <w:jc w:val="both"/>
        <w:rPr>
          <w:rFonts w:ascii="Sylfaen" w:hAnsi="Sylfaen"/>
          <w:sz w:val="24"/>
          <w:szCs w:val="24"/>
          <w:lang w:val="en-GB"/>
        </w:rPr>
      </w:pPr>
      <w:r w:rsidRPr="00684E36">
        <w:rPr>
          <w:rFonts w:ascii="Sylfaen" w:hAnsi="Sylfaen"/>
          <w:sz w:val="24"/>
          <w:szCs w:val="24"/>
          <w:lang w:val="en-GB"/>
        </w:rPr>
        <w:t xml:space="preserve">2. </w:t>
      </w:r>
      <w:r w:rsidRPr="00012EAD">
        <w:rPr>
          <w:rFonts w:ascii="Sylfaen" w:hAnsi="Sylfaen"/>
          <w:b/>
          <w:bCs/>
          <w:sz w:val="24"/>
          <w:szCs w:val="24"/>
          <w:lang w:val="en-GB"/>
        </w:rPr>
        <w:t>"Pichvnari",</w:t>
      </w:r>
      <w:r w:rsidRPr="00684E36">
        <w:rPr>
          <w:rFonts w:ascii="Sylfaen" w:hAnsi="Sylfaen"/>
          <w:sz w:val="24"/>
          <w:szCs w:val="24"/>
          <w:lang w:val="en-GB"/>
        </w:rPr>
        <w:t xml:space="preserve"> VIII, Batumi, 2023</w:t>
      </w:r>
      <w:r w:rsidR="00E61F25">
        <w:rPr>
          <w:rFonts w:ascii="Sylfaen" w:hAnsi="Sylfaen"/>
          <w:sz w:val="24"/>
          <w:szCs w:val="24"/>
          <w:lang w:val="en-GB"/>
        </w:rPr>
        <w:t xml:space="preserve">, </w:t>
      </w:r>
      <w:r w:rsidR="00E61F25">
        <w:rPr>
          <w:rFonts w:ascii="Sylfaen" w:hAnsi="Sylfaen"/>
          <w:sz w:val="24"/>
          <w:szCs w:val="24"/>
          <w:lang w:val="en-US"/>
        </w:rPr>
        <w:t>pp. 87-116, 142-173, 206-238, 239-265</w:t>
      </w:r>
      <w:r w:rsidRPr="00684E36">
        <w:rPr>
          <w:rFonts w:ascii="Sylfaen" w:hAnsi="Sylfaen"/>
          <w:sz w:val="24"/>
          <w:szCs w:val="24"/>
          <w:lang w:val="en-GB"/>
        </w:rPr>
        <w:t xml:space="preserve"> (</w:t>
      </w:r>
      <w:r w:rsidRPr="00867F3A">
        <w:rPr>
          <w:rFonts w:ascii="Sylfaen" w:hAnsi="Sylfaen"/>
          <w:color w:val="538135" w:themeColor="accent6" w:themeShade="BF"/>
          <w:sz w:val="24"/>
          <w:szCs w:val="24"/>
          <w:lang w:val="en-GB"/>
        </w:rPr>
        <w:t>pdf</w:t>
      </w:r>
      <w:r w:rsidRPr="00684E36">
        <w:rPr>
          <w:rFonts w:ascii="Sylfaen" w:hAnsi="Sylfaen"/>
          <w:sz w:val="24"/>
          <w:szCs w:val="24"/>
          <w:lang w:val="en-GB"/>
        </w:rPr>
        <w:t>)</w:t>
      </w:r>
    </w:p>
    <w:p w14:paraId="45CFC260" w14:textId="77777777" w:rsidR="00684E36" w:rsidRPr="00684E36" w:rsidRDefault="00684E36" w:rsidP="00012EAD">
      <w:pPr>
        <w:spacing w:after="0" w:line="360" w:lineRule="auto"/>
        <w:ind w:firstLine="720"/>
        <w:jc w:val="both"/>
        <w:rPr>
          <w:rFonts w:ascii="Sylfaen" w:hAnsi="Sylfaen"/>
          <w:sz w:val="24"/>
          <w:szCs w:val="24"/>
          <w:lang w:val="en-GB"/>
        </w:rPr>
      </w:pPr>
      <w:r w:rsidRPr="00684E36">
        <w:rPr>
          <w:rFonts w:ascii="Sylfaen" w:hAnsi="Sylfaen"/>
          <w:sz w:val="24"/>
          <w:szCs w:val="24"/>
          <w:lang w:val="en-GB"/>
        </w:rPr>
        <w:t xml:space="preserve">3. </w:t>
      </w:r>
      <w:r w:rsidRPr="00867F3A">
        <w:rPr>
          <w:rFonts w:ascii="Sylfaen" w:hAnsi="Sylfaen"/>
          <w:b/>
          <w:bCs/>
          <w:sz w:val="24"/>
          <w:szCs w:val="24"/>
          <w:lang w:val="en-GB"/>
        </w:rPr>
        <w:t>Chavleishvili I.,</w:t>
      </w:r>
      <w:r w:rsidRPr="00684E36">
        <w:rPr>
          <w:rFonts w:ascii="Sylfaen" w:hAnsi="Sylfaen"/>
          <w:sz w:val="24"/>
          <w:szCs w:val="24"/>
          <w:lang w:val="en-GB"/>
        </w:rPr>
        <w:t xml:space="preserve"> Pichvnari B.C. Inhabitants of II-I millennia, Batumi, 2025 (</w:t>
      </w:r>
      <w:r w:rsidRPr="00867F3A">
        <w:rPr>
          <w:rFonts w:ascii="Sylfaen" w:hAnsi="Sylfaen"/>
          <w:color w:val="538135" w:themeColor="accent6" w:themeShade="BF"/>
          <w:sz w:val="24"/>
          <w:szCs w:val="24"/>
          <w:lang w:val="en-GB"/>
        </w:rPr>
        <w:t>pdf</w:t>
      </w:r>
      <w:r w:rsidRPr="00684E36">
        <w:rPr>
          <w:rFonts w:ascii="Sylfaen" w:hAnsi="Sylfaen"/>
          <w:sz w:val="24"/>
          <w:szCs w:val="24"/>
          <w:lang w:val="en-GB"/>
        </w:rPr>
        <w:t>)</w:t>
      </w:r>
    </w:p>
    <w:p w14:paraId="4E60BCA2" w14:textId="77777777" w:rsidR="00063434" w:rsidRPr="00684E36" w:rsidRDefault="00684E36" w:rsidP="00012EAD">
      <w:pPr>
        <w:spacing w:after="0" w:line="360" w:lineRule="auto"/>
        <w:ind w:firstLine="720"/>
        <w:jc w:val="both"/>
        <w:rPr>
          <w:rFonts w:ascii="Sylfaen" w:hAnsi="Sylfaen"/>
          <w:sz w:val="24"/>
          <w:szCs w:val="24"/>
          <w:lang w:val="en-GB"/>
        </w:rPr>
      </w:pPr>
      <w:r w:rsidRPr="00684E36">
        <w:rPr>
          <w:rFonts w:ascii="Sylfaen" w:hAnsi="Sylfaen"/>
          <w:sz w:val="24"/>
          <w:szCs w:val="24"/>
          <w:lang w:val="en-GB"/>
        </w:rPr>
        <w:t xml:space="preserve">4. </w:t>
      </w:r>
      <w:r w:rsidRPr="00867F3A">
        <w:rPr>
          <w:rFonts w:ascii="Sylfaen" w:hAnsi="Sylfaen"/>
          <w:b/>
          <w:bCs/>
          <w:sz w:val="24"/>
          <w:szCs w:val="24"/>
          <w:lang w:val="en-GB"/>
        </w:rPr>
        <w:t>Mikeladze T., Khakhutaishvili D.,</w:t>
      </w:r>
      <w:r w:rsidRPr="00684E36">
        <w:rPr>
          <w:rFonts w:ascii="Sylfaen" w:hAnsi="Sylfaen"/>
          <w:sz w:val="24"/>
          <w:szCs w:val="24"/>
          <w:lang w:val="en-GB"/>
        </w:rPr>
        <w:t xml:space="preserve"> The ancient Colchian settlement of Namcheduri, Tbilisi, 1985.</w:t>
      </w:r>
    </w:p>
    <w:sectPr w:rsidR="00063434" w:rsidRPr="00684E36"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12EAD"/>
    <w:rsid w:val="00062D62"/>
    <w:rsid w:val="00063434"/>
    <w:rsid w:val="000B1204"/>
    <w:rsid w:val="00147B24"/>
    <w:rsid w:val="001769D8"/>
    <w:rsid w:val="002C45FB"/>
    <w:rsid w:val="00485E96"/>
    <w:rsid w:val="00560248"/>
    <w:rsid w:val="00593C8C"/>
    <w:rsid w:val="00684E36"/>
    <w:rsid w:val="006F65D6"/>
    <w:rsid w:val="007A4917"/>
    <w:rsid w:val="007E1E81"/>
    <w:rsid w:val="00864685"/>
    <w:rsid w:val="00867F3A"/>
    <w:rsid w:val="0087305E"/>
    <w:rsid w:val="008805F5"/>
    <w:rsid w:val="008C4246"/>
    <w:rsid w:val="00907502"/>
    <w:rsid w:val="009D2FA5"/>
    <w:rsid w:val="00A91BD9"/>
    <w:rsid w:val="00B213EC"/>
    <w:rsid w:val="00B2321C"/>
    <w:rsid w:val="00B90953"/>
    <w:rsid w:val="00C27930"/>
    <w:rsid w:val="00C61E1D"/>
    <w:rsid w:val="00E61F25"/>
    <w:rsid w:val="00EF5DA4"/>
    <w:rsid w:val="00EF7062"/>
    <w:rsid w:val="00F54DD1"/>
    <w:rsid w:val="00F667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F9140"/>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character" w:styleId="Hyperlink">
    <w:name w:val="Hyperlink"/>
    <w:basedOn w:val="DefaultParagraphFont"/>
    <w:uiPriority w:val="99"/>
    <w:unhideWhenUsed/>
    <w:rsid w:val="001769D8"/>
    <w:rPr>
      <w:color w:val="0563C1" w:themeColor="hyperlink"/>
      <w:u w:val="single"/>
    </w:rPr>
  </w:style>
  <w:style w:type="character" w:styleId="UnresolvedMention">
    <w:name w:val="Unresolved Mention"/>
    <w:basedOn w:val="DefaultParagraphFont"/>
    <w:uiPriority w:val="99"/>
    <w:semiHidden/>
    <w:unhideWhenUsed/>
    <w:rsid w:val="001769D8"/>
    <w:rPr>
      <w:color w:val="605E5C"/>
      <w:shd w:val="clear" w:color="auto" w:fill="E1DFDD"/>
    </w:rPr>
  </w:style>
  <w:style w:type="paragraph" w:customStyle="1" w:styleId="Default">
    <w:name w:val="Default"/>
    <w:rsid w:val="00867F3A"/>
    <w:pPr>
      <w:autoSpaceDE w:val="0"/>
      <w:autoSpaceDN w:val="0"/>
      <w:adjustRightInd w:val="0"/>
    </w:pPr>
    <w:rPr>
      <w:rFonts w:ascii="Sylfaen" w:eastAsiaTheme="minorEastAsia" w:hAnsi="Sylfaen" w:cs="Sylfae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195193136">
      <w:bodyDiv w:val="1"/>
      <w:marLeft w:val="0"/>
      <w:marRight w:val="0"/>
      <w:marTop w:val="0"/>
      <w:marBottom w:val="0"/>
      <w:divBdr>
        <w:top w:val="none" w:sz="0" w:space="0" w:color="auto"/>
        <w:left w:val="none" w:sz="0" w:space="0" w:color="auto"/>
        <w:bottom w:val="none" w:sz="0" w:space="0" w:color="auto"/>
        <w:right w:val="none" w:sz="0" w:space="0" w:color="auto"/>
      </w:divBdr>
    </w:div>
    <w:div w:id="427163980">
      <w:bodyDiv w:val="1"/>
      <w:marLeft w:val="0"/>
      <w:marRight w:val="0"/>
      <w:marTop w:val="0"/>
      <w:marBottom w:val="0"/>
      <w:divBdr>
        <w:top w:val="none" w:sz="0" w:space="0" w:color="auto"/>
        <w:left w:val="none" w:sz="0" w:space="0" w:color="auto"/>
        <w:bottom w:val="none" w:sz="0" w:space="0" w:color="auto"/>
        <w:right w:val="none" w:sz="0" w:space="0" w:color="auto"/>
      </w:divBdr>
    </w:div>
    <w:div w:id="534268343">
      <w:bodyDiv w:val="1"/>
      <w:marLeft w:val="0"/>
      <w:marRight w:val="0"/>
      <w:marTop w:val="0"/>
      <w:marBottom w:val="0"/>
      <w:divBdr>
        <w:top w:val="none" w:sz="0" w:space="0" w:color="auto"/>
        <w:left w:val="none" w:sz="0" w:space="0" w:color="auto"/>
        <w:bottom w:val="none" w:sz="0" w:space="0" w:color="auto"/>
        <w:right w:val="none" w:sz="0" w:space="0" w:color="auto"/>
      </w:divBdr>
    </w:div>
    <w:div w:id="565726914">
      <w:bodyDiv w:val="1"/>
      <w:marLeft w:val="0"/>
      <w:marRight w:val="0"/>
      <w:marTop w:val="0"/>
      <w:marBottom w:val="0"/>
      <w:divBdr>
        <w:top w:val="none" w:sz="0" w:space="0" w:color="auto"/>
        <w:left w:val="none" w:sz="0" w:space="0" w:color="auto"/>
        <w:bottom w:val="none" w:sz="0" w:space="0" w:color="auto"/>
        <w:right w:val="none" w:sz="0" w:space="0" w:color="auto"/>
      </w:divBdr>
    </w:div>
    <w:div w:id="610473507">
      <w:bodyDiv w:val="1"/>
      <w:marLeft w:val="0"/>
      <w:marRight w:val="0"/>
      <w:marTop w:val="0"/>
      <w:marBottom w:val="0"/>
      <w:divBdr>
        <w:top w:val="none" w:sz="0" w:space="0" w:color="auto"/>
        <w:left w:val="none" w:sz="0" w:space="0" w:color="auto"/>
        <w:bottom w:val="none" w:sz="0" w:space="0" w:color="auto"/>
        <w:right w:val="none" w:sz="0" w:space="0" w:color="auto"/>
      </w:divBdr>
    </w:div>
    <w:div w:id="654527518">
      <w:bodyDiv w:val="1"/>
      <w:marLeft w:val="0"/>
      <w:marRight w:val="0"/>
      <w:marTop w:val="0"/>
      <w:marBottom w:val="0"/>
      <w:divBdr>
        <w:top w:val="none" w:sz="0" w:space="0" w:color="auto"/>
        <w:left w:val="none" w:sz="0" w:space="0" w:color="auto"/>
        <w:bottom w:val="none" w:sz="0" w:space="0" w:color="auto"/>
        <w:right w:val="none" w:sz="0" w:space="0" w:color="auto"/>
      </w:divBdr>
    </w:div>
    <w:div w:id="825365106">
      <w:bodyDiv w:val="1"/>
      <w:marLeft w:val="0"/>
      <w:marRight w:val="0"/>
      <w:marTop w:val="0"/>
      <w:marBottom w:val="0"/>
      <w:divBdr>
        <w:top w:val="none" w:sz="0" w:space="0" w:color="auto"/>
        <w:left w:val="none" w:sz="0" w:space="0" w:color="auto"/>
        <w:bottom w:val="none" w:sz="0" w:space="0" w:color="auto"/>
        <w:right w:val="none" w:sz="0" w:space="0" w:color="auto"/>
      </w:divBdr>
      <w:divsChild>
        <w:div w:id="94255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466920">
      <w:bodyDiv w:val="1"/>
      <w:marLeft w:val="0"/>
      <w:marRight w:val="0"/>
      <w:marTop w:val="0"/>
      <w:marBottom w:val="0"/>
      <w:divBdr>
        <w:top w:val="none" w:sz="0" w:space="0" w:color="auto"/>
        <w:left w:val="none" w:sz="0" w:space="0" w:color="auto"/>
        <w:bottom w:val="none" w:sz="0" w:space="0" w:color="auto"/>
        <w:right w:val="none" w:sz="0" w:space="0" w:color="auto"/>
      </w:divBdr>
    </w:div>
    <w:div w:id="1006589283">
      <w:bodyDiv w:val="1"/>
      <w:marLeft w:val="0"/>
      <w:marRight w:val="0"/>
      <w:marTop w:val="0"/>
      <w:marBottom w:val="0"/>
      <w:divBdr>
        <w:top w:val="none" w:sz="0" w:space="0" w:color="auto"/>
        <w:left w:val="none" w:sz="0" w:space="0" w:color="auto"/>
        <w:bottom w:val="none" w:sz="0" w:space="0" w:color="auto"/>
        <w:right w:val="none" w:sz="0" w:space="0" w:color="auto"/>
      </w:divBdr>
    </w:div>
    <w:div w:id="1137265201">
      <w:bodyDiv w:val="1"/>
      <w:marLeft w:val="0"/>
      <w:marRight w:val="0"/>
      <w:marTop w:val="0"/>
      <w:marBottom w:val="0"/>
      <w:divBdr>
        <w:top w:val="none" w:sz="0" w:space="0" w:color="auto"/>
        <w:left w:val="none" w:sz="0" w:space="0" w:color="auto"/>
        <w:bottom w:val="none" w:sz="0" w:space="0" w:color="auto"/>
        <w:right w:val="none" w:sz="0" w:space="0" w:color="auto"/>
      </w:divBdr>
      <w:divsChild>
        <w:div w:id="10670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249999232">
      <w:bodyDiv w:val="1"/>
      <w:marLeft w:val="0"/>
      <w:marRight w:val="0"/>
      <w:marTop w:val="0"/>
      <w:marBottom w:val="0"/>
      <w:divBdr>
        <w:top w:val="none" w:sz="0" w:space="0" w:color="auto"/>
        <w:left w:val="none" w:sz="0" w:space="0" w:color="auto"/>
        <w:bottom w:val="none" w:sz="0" w:space="0" w:color="auto"/>
        <w:right w:val="none" w:sz="0" w:space="0" w:color="auto"/>
      </w:divBdr>
    </w:div>
    <w:div w:id="1338924179">
      <w:bodyDiv w:val="1"/>
      <w:marLeft w:val="0"/>
      <w:marRight w:val="0"/>
      <w:marTop w:val="0"/>
      <w:marBottom w:val="0"/>
      <w:divBdr>
        <w:top w:val="none" w:sz="0" w:space="0" w:color="auto"/>
        <w:left w:val="none" w:sz="0" w:space="0" w:color="auto"/>
        <w:bottom w:val="none" w:sz="0" w:space="0" w:color="auto"/>
        <w:right w:val="none" w:sz="0" w:space="0" w:color="auto"/>
      </w:divBdr>
    </w:div>
    <w:div w:id="1349481389">
      <w:bodyDiv w:val="1"/>
      <w:marLeft w:val="0"/>
      <w:marRight w:val="0"/>
      <w:marTop w:val="0"/>
      <w:marBottom w:val="0"/>
      <w:divBdr>
        <w:top w:val="none" w:sz="0" w:space="0" w:color="auto"/>
        <w:left w:val="none" w:sz="0" w:space="0" w:color="auto"/>
        <w:bottom w:val="none" w:sz="0" w:space="0" w:color="auto"/>
        <w:right w:val="none" w:sz="0" w:space="0" w:color="auto"/>
      </w:divBdr>
    </w:div>
    <w:div w:id="1384791208">
      <w:bodyDiv w:val="1"/>
      <w:marLeft w:val="0"/>
      <w:marRight w:val="0"/>
      <w:marTop w:val="0"/>
      <w:marBottom w:val="0"/>
      <w:divBdr>
        <w:top w:val="none" w:sz="0" w:space="0" w:color="auto"/>
        <w:left w:val="none" w:sz="0" w:space="0" w:color="auto"/>
        <w:bottom w:val="none" w:sz="0" w:space="0" w:color="auto"/>
        <w:right w:val="none" w:sz="0" w:space="0" w:color="auto"/>
      </w:divBdr>
      <w:divsChild>
        <w:div w:id="1170367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9715092">
      <w:bodyDiv w:val="1"/>
      <w:marLeft w:val="0"/>
      <w:marRight w:val="0"/>
      <w:marTop w:val="0"/>
      <w:marBottom w:val="0"/>
      <w:divBdr>
        <w:top w:val="none" w:sz="0" w:space="0" w:color="auto"/>
        <w:left w:val="none" w:sz="0" w:space="0" w:color="auto"/>
        <w:bottom w:val="none" w:sz="0" w:space="0" w:color="auto"/>
        <w:right w:val="none" w:sz="0" w:space="0" w:color="auto"/>
      </w:divBdr>
    </w:div>
    <w:div w:id="1550460307">
      <w:bodyDiv w:val="1"/>
      <w:marLeft w:val="0"/>
      <w:marRight w:val="0"/>
      <w:marTop w:val="0"/>
      <w:marBottom w:val="0"/>
      <w:divBdr>
        <w:top w:val="none" w:sz="0" w:space="0" w:color="auto"/>
        <w:left w:val="none" w:sz="0" w:space="0" w:color="auto"/>
        <w:bottom w:val="none" w:sz="0" w:space="0" w:color="auto"/>
        <w:right w:val="none" w:sz="0" w:space="0" w:color="auto"/>
      </w:divBdr>
    </w:div>
    <w:div w:id="1614241312">
      <w:bodyDiv w:val="1"/>
      <w:marLeft w:val="0"/>
      <w:marRight w:val="0"/>
      <w:marTop w:val="0"/>
      <w:marBottom w:val="0"/>
      <w:divBdr>
        <w:top w:val="none" w:sz="0" w:space="0" w:color="auto"/>
        <w:left w:val="none" w:sz="0" w:space="0" w:color="auto"/>
        <w:bottom w:val="none" w:sz="0" w:space="0" w:color="auto"/>
        <w:right w:val="none" w:sz="0" w:space="0" w:color="auto"/>
      </w:divBdr>
    </w:div>
    <w:div w:id="1634602105">
      <w:bodyDiv w:val="1"/>
      <w:marLeft w:val="0"/>
      <w:marRight w:val="0"/>
      <w:marTop w:val="0"/>
      <w:marBottom w:val="0"/>
      <w:divBdr>
        <w:top w:val="none" w:sz="0" w:space="0" w:color="auto"/>
        <w:left w:val="none" w:sz="0" w:space="0" w:color="auto"/>
        <w:bottom w:val="none" w:sz="0" w:space="0" w:color="auto"/>
        <w:right w:val="none" w:sz="0" w:space="0" w:color="auto"/>
      </w:divBdr>
    </w:div>
    <w:div w:id="1655141461">
      <w:bodyDiv w:val="1"/>
      <w:marLeft w:val="0"/>
      <w:marRight w:val="0"/>
      <w:marTop w:val="0"/>
      <w:marBottom w:val="0"/>
      <w:divBdr>
        <w:top w:val="none" w:sz="0" w:space="0" w:color="auto"/>
        <w:left w:val="none" w:sz="0" w:space="0" w:color="auto"/>
        <w:bottom w:val="none" w:sz="0" w:space="0" w:color="auto"/>
        <w:right w:val="none" w:sz="0" w:space="0" w:color="auto"/>
      </w:divBdr>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3766249">
      <w:bodyDiv w:val="1"/>
      <w:marLeft w:val="0"/>
      <w:marRight w:val="0"/>
      <w:marTop w:val="0"/>
      <w:marBottom w:val="0"/>
      <w:divBdr>
        <w:top w:val="none" w:sz="0" w:space="0" w:color="auto"/>
        <w:left w:val="none" w:sz="0" w:space="0" w:color="auto"/>
        <w:bottom w:val="none" w:sz="0" w:space="0" w:color="auto"/>
        <w:right w:val="none" w:sz="0" w:space="0" w:color="auto"/>
      </w:divBdr>
    </w:div>
    <w:div w:id="1988431319">
      <w:bodyDiv w:val="1"/>
      <w:marLeft w:val="0"/>
      <w:marRight w:val="0"/>
      <w:marTop w:val="0"/>
      <w:marBottom w:val="0"/>
      <w:divBdr>
        <w:top w:val="none" w:sz="0" w:space="0" w:color="auto"/>
        <w:left w:val="none" w:sz="0" w:space="0" w:color="auto"/>
        <w:bottom w:val="none" w:sz="0" w:space="0" w:color="auto"/>
        <w:right w:val="none" w:sz="0" w:space="0" w:color="auto"/>
      </w:divBdr>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16</cp:revision>
  <dcterms:created xsi:type="dcterms:W3CDTF">2026-06-23T19:03:00Z</dcterms:created>
  <dcterms:modified xsi:type="dcterms:W3CDTF">2026-08-22T09:40:00Z</dcterms:modified>
</cp:coreProperties>
</file>