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831405" w14:textId="77777777" w:rsidR="0069342F" w:rsidRDefault="0069342F" w:rsidP="00DA498D">
      <w:pPr>
        <w:spacing w:after="0" w:line="360" w:lineRule="auto"/>
        <w:jc w:val="center"/>
        <w:rPr>
          <w:rFonts w:ascii="Sylfaen" w:hAnsi="Sylfaen"/>
          <w:b/>
          <w:bCs/>
          <w:sz w:val="24"/>
          <w:szCs w:val="24"/>
          <w:lang w:val="en-GB"/>
        </w:rPr>
      </w:pPr>
      <w:r w:rsidRPr="00DA498D">
        <w:rPr>
          <w:rFonts w:ascii="Sylfaen" w:hAnsi="Sylfaen"/>
          <w:b/>
          <w:bCs/>
          <w:sz w:val="24"/>
          <w:szCs w:val="24"/>
          <w:lang w:val="en-GB"/>
        </w:rPr>
        <w:t>Passport of Archaeological Monument</w:t>
      </w:r>
    </w:p>
    <w:p w14:paraId="33A3A47C" w14:textId="77777777" w:rsidR="00DA498D" w:rsidRPr="00DA498D" w:rsidRDefault="00DA498D" w:rsidP="00DA498D">
      <w:pPr>
        <w:spacing w:after="0" w:line="360" w:lineRule="auto"/>
        <w:jc w:val="center"/>
        <w:rPr>
          <w:rFonts w:ascii="Sylfaen" w:hAnsi="Sylfaen"/>
          <w:b/>
          <w:bCs/>
          <w:sz w:val="24"/>
          <w:szCs w:val="24"/>
          <w:lang w:val="en-GB"/>
        </w:rPr>
      </w:pPr>
    </w:p>
    <w:p w14:paraId="27EA0A61" w14:textId="25961074" w:rsidR="0069342F" w:rsidRPr="00DA498D" w:rsidRDefault="0069342F" w:rsidP="006E38E4">
      <w:pPr>
        <w:tabs>
          <w:tab w:val="left" w:pos="360"/>
        </w:tabs>
        <w:spacing w:after="0" w:line="360" w:lineRule="auto"/>
        <w:ind w:firstLine="720"/>
        <w:jc w:val="both"/>
        <w:rPr>
          <w:rFonts w:ascii="Sylfaen" w:hAnsi="Sylfaen"/>
          <w:sz w:val="24"/>
          <w:szCs w:val="24"/>
          <w:lang w:val="en-GB"/>
        </w:rPr>
      </w:pPr>
      <w:r w:rsidRPr="00DA498D">
        <w:rPr>
          <w:rFonts w:ascii="Sylfaen" w:hAnsi="Sylfaen"/>
          <w:b/>
          <w:bCs/>
          <w:sz w:val="24"/>
          <w:szCs w:val="24"/>
          <w:lang w:val="en-GB"/>
        </w:rPr>
        <w:t>Name of archaeological site</w:t>
      </w:r>
      <w:r w:rsidRPr="00DA498D">
        <w:rPr>
          <w:rFonts w:ascii="Sylfaen" w:hAnsi="Sylfaen"/>
          <w:sz w:val="24"/>
          <w:szCs w:val="24"/>
          <w:lang w:val="en-GB"/>
        </w:rPr>
        <w:t xml:space="preserve">: </w:t>
      </w:r>
      <w:r w:rsidR="003D2C7F" w:rsidRPr="00DA498D">
        <w:rPr>
          <w:rFonts w:ascii="Sylfaen" w:hAnsi="Sylfaen"/>
          <w:sz w:val="24"/>
          <w:szCs w:val="24"/>
          <w:lang w:val="en-GB"/>
        </w:rPr>
        <w:t>The</w:t>
      </w:r>
      <w:r w:rsidR="001D6366">
        <w:rPr>
          <w:rFonts w:ascii="Sylfaen" w:hAnsi="Sylfaen"/>
          <w:sz w:val="24"/>
          <w:szCs w:val="24"/>
          <w:lang w:val="en-GB"/>
        </w:rPr>
        <w:t xml:space="preserve"> </w:t>
      </w:r>
      <w:r w:rsidR="001D6366">
        <w:rPr>
          <w:rFonts w:ascii="Sylfaen" w:hAnsi="Sylfaen"/>
          <w:sz w:val="24"/>
          <w:szCs w:val="24"/>
          <w:lang w:val="en-US"/>
        </w:rPr>
        <w:t>Hoard</w:t>
      </w:r>
      <w:r w:rsidR="003D2C7F" w:rsidRPr="00DA498D">
        <w:rPr>
          <w:rFonts w:ascii="Sylfaen" w:hAnsi="Sylfaen"/>
          <w:sz w:val="24"/>
          <w:szCs w:val="24"/>
          <w:lang w:val="en-GB"/>
        </w:rPr>
        <w:t xml:space="preserve"> of Zundaga</w:t>
      </w:r>
    </w:p>
    <w:p w14:paraId="63A6CA94" w14:textId="0AFCCC20" w:rsidR="001D6366" w:rsidRDefault="0069342F" w:rsidP="006E38E4">
      <w:pPr>
        <w:tabs>
          <w:tab w:val="left" w:pos="360"/>
        </w:tabs>
        <w:spacing w:after="0" w:line="360" w:lineRule="auto"/>
        <w:ind w:firstLine="720"/>
        <w:jc w:val="both"/>
        <w:rPr>
          <w:rFonts w:ascii="Sylfaen" w:hAnsi="Sylfaen"/>
          <w:sz w:val="24"/>
          <w:szCs w:val="24"/>
          <w:lang w:val="en-GB"/>
        </w:rPr>
      </w:pPr>
      <w:r w:rsidRPr="00DA498D">
        <w:rPr>
          <w:rFonts w:ascii="Sylfaen" w:hAnsi="Sylfaen"/>
          <w:b/>
          <w:bCs/>
          <w:sz w:val="24"/>
          <w:szCs w:val="24"/>
          <w:lang w:val="en-GB"/>
        </w:rPr>
        <w:t>Type of archaeological site:</w:t>
      </w:r>
      <w:r w:rsidRPr="00DA498D">
        <w:rPr>
          <w:rFonts w:ascii="Sylfaen" w:hAnsi="Sylfaen"/>
          <w:sz w:val="24"/>
          <w:szCs w:val="24"/>
          <w:lang w:val="en-GB"/>
        </w:rPr>
        <w:t xml:space="preserve"> </w:t>
      </w:r>
      <w:r w:rsidR="001D6366">
        <w:rPr>
          <w:rFonts w:ascii="Sylfaen" w:hAnsi="Sylfaen"/>
          <w:sz w:val="24"/>
          <w:szCs w:val="24"/>
          <w:lang w:val="en-GB"/>
        </w:rPr>
        <w:t>Hoard</w:t>
      </w:r>
    </w:p>
    <w:p w14:paraId="1A90C52C" w14:textId="54C34E7C" w:rsidR="0069342F" w:rsidRPr="00DA498D" w:rsidRDefault="0069342F" w:rsidP="006E38E4">
      <w:pPr>
        <w:tabs>
          <w:tab w:val="left" w:pos="360"/>
        </w:tabs>
        <w:spacing w:after="0" w:line="360" w:lineRule="auto"/>
        <w:ind w:firstLine="720"/>
        <w:jc w:val="both"/>
        <w:rPr>
          <w:rFonts w:ascii="Sylfaen" w:hAnsi="Sylfaen"/>
          <w:sz w:val="24"/>
          <w:szCs w:val="24"/>
          <w:lang w:val="en-GB"/>
        </w:rPr>
      </w:pPr>
      <w:r w:rsidRPr="00DA498D">
        <w:rPr>
          <w:rFonts w:ascii="Sylfaen" w:hAnsi="Sylfaen"/>
          <w:b/>
          <w:bCs/>
          <w:sz w:val="24"/>
          <w:szCs w:val="24"/>
          <w:lang w:val="en-GB"/>
        </w:rPr>
        <w:t>Chronological attribution (historical era, exact date)</w:t>
      </w:r>
      <w:r w:rsidRPr="00DA498D">
        <w:rPr>
          <w:rFonts w:ascii="Sylfaen" w:hAnsi="Sylfaen"/>
          <w:sz w:val="24"/>
          <w:szCs w:val="24"/>
          <w:lang w:val="en-GB"/>
        </w:rPr>
        <w:t xml:space="preserve"> - </w:t>
      </w:r>
      <w:r w:rsidR="003D2C7F" w:rsidRPr="00DA498D">
        <w:rPr>
          <w:rFonts w:ascii="Sylfaen" w:hAnsi="Sylfaen"/>
          <w:sz w:val="24"/>
          <w:szCs w:val="24"/>
          <w:lang w:val="en-GB"/>
        </w:rPr>
        <w:t>Late Bronze Age, 10th-9th centuries BC</w:t>
      </w:r>
    </w:p>
    <w:p w14:paraId="0B271A89" w14:textId="77777777" w:rsidR="00330A83" w:rsidRPr="00330A83" w:rsidRDefault="0069342F" w:rsidP="00330A83">
      <w:pPr>
        <w:tabs>
          <w:tab w:val="left" w:pos="360"/>
        </w:tabs>
        <w:spacing w:after="0" w:line="360" w:lineRule="auto"/>
        <w:ind w:firstLine="720"/>
        <w:jc w:val="both"/>
        <w:rPr>
          <w:rFonts w:ascii="Sylfaen" w:hAnsi="Sylfaen"/>
          <w:sz w:val="24"/>
          <w:szCs w:val="24"/>
          <w:lang w:val="ka-GE"/>
        </w:rPr>
      </w:pPr>
      <w:r w:rsidRPr="00DA498D">
        <w:rPr>
          <w:rFonts w:ascii="Sylfaen" w:hAnsi="Sylfaen"/>
          <w:b/>
          <w:bCs/>
          <w:sz w:val="24"/>
          <w:szCs w:val="24"/>
          <w:lang w:val="en-GB"/>
        </w:rPr>
        <w:t>Address (municipality, city, village, valley, GPS Coordinates)</w:t>
      </w:r>
      <w:r w:rsidRPr="00DA498D">
        <w:rPr>
          <w:rFonts w:ascii="Sylfaen" w:hAnsi="Sylfaen"/>
          <w:sz w:val="24"/>
          <w:szCs w:val="24"/>
          <w:lang w:val="en-GB"/>
        </w:rPr>
        <w:t xml:space="preserve"> - </w:t>
      </w:r>
      <w:r w:rsidR="003D2C7F" w:rsidRPr="00DA498D">
        <w:rPr>
          <w:rFonts w:ascii="Sylfaen" w:hAnsi="Sylfaen"/>
          <w:sz w:val="24"/>
          <w:szCs w:val="24"/>
          <w:lang w:val="en-GB"/>
        </w:rPr>
        <w:t>Georgia, Keda Municipality, village Zundaga</w:t>
      </w:r>
      <w:r w:rsidR="00E2667A">
        <w:rPr>
          <w:rFonts w:ascii="Sylfaen" w:hAnsi="Sylfaen"/>
          <w:sz w:val="24"/>
          <w:szCs w:val="24"/>
          <w:lang w:val="en-GB"/>
        </w:rPr>
        <w:t xml:space="preserve">, </w:t>
      </w:r>
      <w:r w:rsidR="00E2667A">
        <w:rPr>
          <w:rFonts w:ascii="Sylfaen" w:hAnsi="Sylfaen"/>
          <w:sz w:val="24"/>
          <w:szCs w:val="24"/>
          <w:lang w:val="en-US"/>
        </w:rPr>
        <w:t>Ajaristskali Gorge,</w:t>
      </w:r>
      <w:r w:rsidR="00330A83">
        <w:rPr>
          <w:rFonts w:ascii="Sylfaen" w:hAnsi="Sylfaen"/>
          <w:sz w:val="24"/>
          <w:szCs w:val="24"/>
          <w:lang w:val="en-US"/>
        </w:rPr>
        <w:t xml:space="preserve"> </w:t>
      </w:r>
      <w:r w:rsidR="00330A83" w:rsidRPr="00330A83">
        <w:rPr>
          <w:rFonts w:ascii="Sylfaen" w:hAnsi="Sylfaen"/>
          <w:sz w:val="24"/>
          <w:szCs w:val="24"/>
          <w:lang w:val="ka-GE"/>
        </w:rPr>
        <w:t xml:space="preserve">GPS: N </w:t>
      </w:r>
      <w:hyperlink r:id="rId5" w:history="1">
        <w:r w:rsidR="00330A83" w:rsidRPr="00330A83">
          <w:rPr>
            <w:rStyle w:val="Hyperlink"/>
            <w:rFonts w:ascii="Sylfaen" w:hAnsi="Sylfaen"/>
            <w:sz w:val="24"/>
            <w:szCs w:val="24"/>
            <w:lang w:val="ka-GE"/>
          </w:rPr>
          <w:t>41°34.140′ E 41°49.910′ </w:t>
        </w:r>
      </w:hyperlink>
    </w:p>
    <w:p w14:paraId="0A3E1FED" w14:textId="77777777" w:rsidR="0069342F" w:rsidRPr="00DA498D" w:rsidRDefault="0069342F" w:rsidP="00DA498D">
      <w:pPr>
        <w:spacing w:after="0" w:line="360" w:lineRule="auto"/>
        <w:ind w:firstLine="720"/>
        <w:jc w:val="both"/>
        <w:rPr>
          <w:rFonts w:ascii="Sylfaen" w:hAnsi="Sylfaen"/>
          <w:b/>
          <w:bCs/>
          <w:sz w:val="24"/>
          <w:szCs w:val="24"/>
          <w:lang w:val="en-GB"/>
        </w:rPr>
      </w:pPr>
      <w:r w:rsidRPr="00DA498D">
        <w:rPr>
          <w:rFonts w:ascii="Sylfaen" w:hAnsi="Sylfaen"/>
          <w:b/>
          <w:bCs/>
          <w:sz w:val="24"/>
          <w:szCs w:val="24"/>
          <w:lang w:val="en-GB"/>
        </w:rPr>
        <w:t>History of study/research (circumstances of discovery, studies conducted on the monument, researchers working on the monument, bibliography):</w:t>
      </w:r>
    </w:p>
    <w:p w14:paraId="0C5B77CE" w14:textId="77777777" w:rsidR="004669B2" w:rsidRPr="00DA498D" w:rsidRDefault="0069342F" w:rsidP="00DA498D">
      <w:pPr>
        <w:spacing w:after="0" w:line="360" w:lineRule="auto"/>
        <w:ind w:firstLine="720"/>
        <w:jc w:val="both"/>
        <w:rPr>
          <w:rFonts w:ascii="Sylfaen" w:hAnsi="Sylfaen"/>
          <w:sz w:val="24"/>
          <w:szCs w:val="24"/>
          <w:lang w:val="en-GB"/>
        </w:rPr>
      </w:pPr>
      <w:r w:rsidRPr="00DA498D">
        <w:rPr>
          <w:rFonts w:ascii="Sylfaen" w:hAnsi="Sylfaen"/>
          <w:b/>
          <w:bCs/>
          <w:sz w:val="24"/>
          <w:szCs w:val="24"/>
          <w:lang w:val="en-GB"/>
        </w:rPr>
        <w:t xml:space="preserve">Study/research history: </w:t>
      </w:r>
      <w:r w:rsidR="003D2C7F" w:rsidRPr="00DA498D">
        <w:rPr>
          <w:rFonts w:ascii="Sylfaen" w:hAnsi="Sylfaen"/>
          <w:sz w:val="24"/>
          <w:szCs w:val="24"/>
          <w:lang w:val="en-GB"/>
        </w:rPr>
        <w:t>In 1994, Bekir Mustafa Kobuladze, a resident of the village of Zundaga, while cultivating the land, near the Ajaristskali Gorge highway at the end of the village, in the vicinity of the “Megverda-Mosaperta” site (the right bank of the Ajaristskali River), accidentally found bronze objects packed in a clay pot. These are: a Central-Transcaucasian bronze axe, a flat axe, a bracelet, two massive rings, and two pieces of belt buckle.</w:t>
      </w:r>
    </w:p>
    <w:p w14:paraId="2C0FCFDC" w14:textId="0C63928A" w:rsidR="004669B2" w:rsidRPr="00DA498D" w:rsidRDefault="004669B2" w:rsidP="00DA498D">
      <w:pPr>
        <w:spacing w:after="0" w:line="360" w:lineRule="auto"/>
        <w:ind w:firstLine="720"/>
        <w:jc w:val="both"/>
        <w:rPr>
          <w:rFonts w:ascii="Sylfaen" w:hAnsi="Sylfaen"/>
          <w:color w:val="000000"/>
          <w:sz w:val="24"/>
          <w:szCs w:val="24"/>
          <w:lang w:val="en-GB"/>
        </w:rPr>
      </w:pPr>
      <w:r w:rsidRPr="00DA498D">
        <w:rPr>
          <w:rStyle w:val="Strong"/>
          <w:rFonts w:ascii="Sylfaen" w:hAnsi="Sylfaen"/>
          <w:color w:val="000000"/>
          <w:sz w:val="24"/>
          <w:szCs w:val="24"/>
          <w:lang w:val="en-GB"/>
        </w:rPr>
        <w:t xml:space="preserve">Research Conducted on the Monument: </w:t>
      </w:r>
      <w:r w:rsidRPr="00DA498D">
        <w:rPr>
          <w:rFonts w:ascii="Sylfaen" w:hAnsi="Sylfaen"/>
          <w:color w:val="000000"/>
          <w:sz w:val="24"/>
          <w:szCs w:val="24"/>
          <w:lang w:val="en-GB"/>
        </w:rPr>
        <w:t>The scientific investigation of the hoard is primarily associated with the work of archaeologists</w:t>
      </w:r>
      <w:r w:rsidRPr="00DA498D">
        <w:rPr>
          <w:rStyle w:val="apple-converted-space"/>
          <w:rFonts w:ascii="Sylfaen" w:hAnsi="Sylfaen"/>
          <w:color w:val="000000"/>
          <w:sz w:val="24"/>
          <w:szCs w:val="24"/>
          <w:lang w:val="en-GB"/>
        </w:rPr>
        <w:t> </w:t>
      </w:r>
      <w:r w:rsidRPr="00D7720D">
        <w:rPr>
          <w:rStyle w:val="Strong"/>
          <w:rFonts w:ascii="Sylfaen" w:hAnsi="Sylfaen"/>
          <w:color w:val="EE0000"/>
          <w:sz w:val="24"/>
          <w:szCs w:val="24"/>
          <w:lang w:val="en-GB"/>
        </w:rPr>
        <w:t>Amiran Kakhidze</w:t>
      </w:r>
      <w:r w:rsidRPr="00D7720D">
        <w:rPr>
          <w:rStyle w:val="apple-converted-space"/>
          <w:rFonts w:ascii="Sylfaen" w:hAnsi="Sylfaen"/>
          <w:color w:val="EE0000"/>
          <w:sz w:val="24"/>
          <w:szCs w:val="24"/>
          <w:lang w:val="en-GB"/>
        </w:rPr>
        <w:t> </w:t>
      </w:r>
      <w:r w:rsidRPr="00DA498D">
        <w:rPr>
          <w:rFonts w:ascii="Sylfaen" w:hAnsi="Sylfaen"/>
          <w:color w:val="000000"/>
          <w:sz w:val="24"/>
          <w:szCs w:val="24"/>
          <w:lang w:val="en-GB"/>
        </w:rPr>
        <w:t>and</w:t>
      </w:r>
      <w:r w:rsidRPr="00DA498D">
        <w:rPr>
          <w:rStyle w:val="apple-converted-space"/>
          <w:rFonts w:ascii="Sylfaen" w:hAnsi="Sylfaen"/>
          <w:color w:val="000000"/>
          <w:sz w:val="24"/>
          <w:szCs w:val="24"/>
          <w:lang w:val="en-GB"/>
        </w:rPr>
        <w:t> </w:t>
      </w:r>
      <w:r w:rsidRPr="00D7720D">
        <w:rPr>
          <w:rStyle w:val="Strong"/>
          <w:rFonts w:ascii="Sylfaen" w:hAnsi="Sylfaen"/>
          <w:color w:val="EE0000"/>
          <w:sz w:val="24"/>
          <w:szCs w:val="24"/>
          <w:lang w:val="en-GB"/>
        </w:rPr>
        <w:t>Shota Mamuladze</w:t>
      </w:r>
      <w:r w:rsidRPr="00DA498D">
        <w:rPr>
          <w:rFonts w:ascii="Sylfaen" w:hAnsi="Sylfaen"/>
          <w:color w:val="000000"/>
          <w:sz w:val="24"/>
          <w:szCs w:val="24"/>
          <w:lang w:val="en-GB"/>
        </w:rPr>
        <w:t>. Particular scholarly attention has been devoted to the so-called</w:t>
      </w:r>
      <w:r w:rsidRPr="00DA498D">
        <w:rPr>
          <w:rStyle w:val="apple-converted-space"/>
          <w:rFonts w:ascii="Sylfaen" w:hAnsi="Sylfaen"/>
          <w:color w:val="000000"/>
          <w:sz w:val="24"/>
          <w:szCs w:val="24"/>
          <w:lang w:val="en-GB"/>
        </w:rPr>
        <w:t> </w:t>
      </w:r>
      <w:r w:rsidRPr="00DA498D">
        <w:rPr>
          <w:rStyle w:val="Strong"/>
          <w:rFonts w:ascii="Sylfaen" w:hAnsi="Sylfaen"/>
          <w:color w:val="000000"/>
          <w:sz w:val="24"/>
          <w:szCs w:val="24"/>
          <w:lang w:val="en-GB"/>
        </w:rPr>
        <w:t>Central Transcaucasian axe</w:t>
      </w:r>
      <w:r w:rsidRPr="00DA498D">
        <w:rPr>
          <w:rStyle w:val="apple-converted-space"/>
          <w:rFonts w:ascii="Sylfaen" w:hAnsi="Sylfaen"/>
          <w:color w:val="000000"/>
          <w:sz w:val="24"/>
          <w:szCs w:val="24"/>
          <w:lang w:val="en-GB"/>
        </w:rPr>
        <w:t> </w:t>
      </w:r>
      <w:r w:rsidRPr="00DA498D">
        <w:rPr>
          <w:rFonts w:ascii="Sylfaen" w:hAnsi="Sylfaen"/>
          <w:color w:val="000000"/>
          <w:sz w:val="24"/>
          <w:szCs w:val="24"/>
          <w:lang w:val="en-GB"/>
        </w:rPr>
        <w:t>(</w:t>
      </w:r>
      <w:r w:rsidRPr="00D7720D">
        <w:rPr>
          <w:rFonts w:ascii="Sylfaen" w:hAnsi="Sylfaen"/>
          <w:color w:val="4472C4" w:themeColor="accent1"/>
          <w:sz w:val="24"/>
          <w:szCs w:val="24"/>
          <w:lang w:val="en-GB"/>
        </w:rPr>
        <w:t>Tab. I/1</w:t>
      </w:r>
      <w:r w:rsidRPr="00DA498D">
        <w:rPr>
          <w:rFonts w:ascii="Sylfaen" w:hAnsi="Sylfaen"/>
          <w:color w:val="000000"/>
          <w:sz w:val="24"/>
          <w:szCs w:val="24"/>
          <w:lang w:val="en-GB"/>
        </w:rPr>
        <w:t>), as no comparable specimen had previously been identified within the territory of Adjara. The geographical distribution of this weapon type extends from the southern slopes of the Caucasus Range in the north to the Nukha</w:t>
      </w:r>
      <w:r w:rsidR="00364757">
        <w:rPr>
          <w:rFonts w:ascii="Sylfaen" w:hAnsi="Sylfaen"/>
          <w:color w:val="000000"/>
          <w:sz w:val="24"/>
          <w:szCs w:val="24"/>
          <w:lang w:val="en-GB"/>
        </w:rPr>
        <w:t>-M</w:t>
      </w:r>
      <w:r w:rsidRPr="00DA498D">
        <w:rPr>
          <w:rFonts w:ascii="Sylfaen" w:hAnsi="Sylfaen"/>
          <w:color w:val="000000"/>
          <w:sz w:val="24"/>
          <w:szCs w:val="24"/>
          <w:lang w:val="en-GB"/>
        </w:rPr>
        <w:t>ingechauri zone in the east, and to the middle course of the Araksi River in the south. To the west, such finds are generally recorded beyond the Surami Range. The most distant and chronologically earliest parallel is represented by the depiction of the storm god</w:t>
      </w:r>
      <w:r w:rsidRPr="00DA498D">
        <w:rPr>
          <w:rStyle w:val="apple-converted-space"/>
          <w:rFonts w:ascii="Sylfaen" w:hAnsi="Sylfaen"/>
          <w:color w:val="000000"/>
          <w:sz w:val="24"/>
          <w:szCs w:val="24"/>
          <w:lang w:val="en-GB"/>
        </w:rPr>
        <w:t> </w:t>
      </w:r>
      <w:r w:rsidRPr="00DA498D">
        <w:rPr>
          <w:rStyle w:val="Strong"/>
          <w:rFonts w:ascii="Sylfaen" w:hAnsi="Sylfaen"/>
          <w:color w:val="000000"/>
          <w:sz w:val="24"/>
          <w:szCs w:val="24"/>
          <w:lang w:val="en-GB"/>
        </w:rPr>
        <w:t>Teshub</w:t>
      </w:r>
      <w:r w:rsidRPr="00DA498D">
        <w:rPr>
          <w:rFonts w:ascii="Sylfaen" w:hAnsi="Sylfaen"/>
          <w:color w:val="000000"/>
          <w:sz w:val="24"/>
          <w:szCs w:val="24"/>
          <w:lang w:val="en-GB"/>
        </w:rPr>
        <w:t>, discovered at</w:t>
      </w:r>
      <w:r w:rsidRPr="00DA498D">
        <w:rPr>
          <w:rStyle w:val="apple-converted-space"/>
          <w:rFonts w:ascii="Sylfaen" w:hAnsi="Sylfaen"/>
          <w:color w:val="000000"/>
          <w:sz w:val="24"/>
          <w:szCs w:val="24"/>
          <w:lang w:val="en-GB"/>
        </w:rPr>
        <w:t> </w:t>
      </w:r>
      <w:r w:rsidRPr="00DA498D">
        <w:rPr>
          <w:rStyle w:val="Strong"/>
          <w:rFonts w:ascii="Sylfaen" w:hAnsi="Sylfaen"/>
          <w:color w:val="000000"/>
          <w:sz w:val="24"/>
          <w:szCs w:val="24"/>
          <w:lang w:val="en-GB"/>
        </w:rPr>
        <w:t>Boghazköy (Boğazkale)</w:t>
      </w:r>
      <w:r w:rsidRPr="00DA498D">
        <w:rPr>
          <w:rFonts w:ascii="Sylfaen" w:hAnsi="Sylfaen"/>
          <w:color w:val="000000"/>
          <w:sz w:val="24"/>
          <w:szCs w:val="24"/>
          <w:lang w:val="en-GB"/>
        </w:rPr>
        <w:t>, the site of the Hittite capital</w:t>
      </w:r>
      <w:r w:rsidRPr="00DA498D">
        <w:rPr>
          <w:rStyle w:val="apple-converted-space"/>
          <w:rFonts w:ascii="Sylfaen" w:hAnsi="Sylfaen"/>
          <w:color w:val="000000"/>
          <w:sz w:val="24"/>
          <w:szCs w:val="24"/>
          <w:lang w:val="en-GB"/>
        </w:rPr>
        <w:t> </w:t>
      </w:r>
      <w:r w:rsidRPr="00DA498D">
        <w:rPr>
          <w:rStyle w:val="Strong"/>
          <w:rFonts w:ascii="Sylfaen" w:hAnsi="Sylfaen"/>
          <w:color w:val="000000"/>
          <w:sz w:val="24"/>
          <w:szCs w:val="24"/>
          <w:lang w:val="en-GB"/>
        </w:rPr>
        <w:t>Hattusa</w:t>
      </w:r>
      <w:r w:rsidRPr="00DA498D">
        <w:rPr>
          <w:rFonts w:ascii="Sylfaen" w:hAnsi="Sylfaen"/>
          <w:color w:val="000000"/>
          <w:sz w:val="24"/>
          <w:szCs w:val="24"/>
          <w:lang w:val="en-GB"/>
        </w:rPr>
        <w:t xml:space="preserve">, where the deity is portrayed holding a weapon of similar form. Based </w:t>
      </w:r>
      <w:r w:rsidRPr="00DA498D">
        <w:rPr>
          <w:rFonts w:ascii="Sylfaen" w:hAnsi="Sylfaen"/>
          <w:color w:val="000000"/>
          <w:sz w:val="24"/>
          <w:szCs w:val="24"/>
          <w:lang w:val="en-GB"/>
        </w:rPr>
        <w:lastRenderedPageBreak/>
        <w:t xml:space="preserve">on typological analysis and comparative evidence, the Zundaga axe is regarded as an early variant of the Central Transcaucasian axe tradition. </w:t>
      </w:r>
    </w:p>
    <w:p w14:paraId="75A60356" w14:textId="77777777" w:rsidR="008A105A" w:rsidRPr="00DA498D" w:rsidRDefault="004669B2" w:rsidP="00DA498D">
      <w:pPr>
        <w:spacing w:after="0" w:line="360" w:lineRule="auto"/>
        <w:ind w:firstLine="720"/>
        <w:jc w:val="both"/>
        <w:rPr>
          <w:rStyle w:val="Strong"/>
          <w:rFonts w:ascii="Sylfaen" w:hAnsi="Sylfaen"/>
          <w:b w:val="0"/>
          <w:bCs w:val="0"/>
          <w:color w:val="000000"/>
          <w:sz w:val="24"/>
          <w:szCs w:val="24"/>
          <w:lang w:val="en-GB"/>
        </w:rPr>
      </w:pPr>
      <w:r w:rsidRPr="00DA498D">
        <w:rPr>
          <w:rStyle w:val="Strong"/>
          <w:rFonts w:ascii="Sylfaen" w:hAnsi="Sylfaen"/>
          <w:b w:val="0"/>
          <w:bCs w:val="0"/>
          <w:color w:val="000000"/>
          <w:sz w:val="24"/>
          <w:szCs w:val="24"/>
          <w:lang w:val="en-GB"/>
        </w:rPr>
        <w:t>A. Kakhidze and Sh. Mamuladze associate the flat axe (</w:t>
      </w:r>
      <w:r w:rsidRPr="00D7720D">
        <w:rPr>
          <w:rStyle w:val="Strong"/>
          <w:rFonts w:ascii="Sylfaen" w:hAnsi="Sylfaen"/>
          <w:b w:val="0"/>
          <w:bCs w:val="0"/>
          <w:color w:val="4472C4" w:themeColor="accent1"/>
          <w:sz w:val="24"/>
          <w:szCs w:val="24"/>
          <w:lang w:val="en-GB"/>
        </w:rPr>
        <w:t>Tab. I/2</w:t>
      </w:r>
      <w:r w:rsidRPr="00DA498D">
        <w:rPr>
          <w:rStyle w:val="Strong"/>
          <w:rFonts w:ascii="Sylfaen" w:hAnsi="Sylfaen"/>
          <w:b w:val="0"/>
          <w:bCs w:val="0"/>
          <w:color w:val="000000"/>
          <w:sz w:val="24"/>
          <w:szCs w:val="24"/>
          <w:lang w:val="en-GB"/>
        </w:rPr>
        <w:t>) with the ancient centres of Anatolian civilization in Asia Minor. They note that flat axes of the first type, closely resembling the Zundaga specimen, have been recovered from hoards in southwestern Georgia dated to the 12th-10th centuries BC. This evidence suggests the existence of cultural and technological connections between the South Caucasus and Anatolia during the Late Bronze and Early Iron Ages. The functional interpretation of flat axes remains a subject of scholarly debate. Researchers have proposed a variety of uses for these implements, including woodworking and carpentry, agricultural activities, mining operations, leather processing, and warfare.</w:t>
      </w:r>
      <w:r w:rsidR="008A105A" w:rsidRPr="00DA498D">
        <w:rPr>
          <w:rStyle w:val="Strong"/>
          <w:rFonts w:ascii="Sylfaen" w:hAnsi="Sylfaen"/>
          <w:b w:val="0"/>
          <w:bCs w:val="0"/>
          <w:color w:val="000000"/>
          <w:sz w:val="24"/>
          <w:szCs w:val="24"/>
          <w:lang w:val="en-GB"/>
        </w:rPr>
        <w:t xml:space="preserve"> </w:t>
      </w:r>
    </w:p>
    <w:p w14:paraId="7CDAE0F7" w14:textId="77777777" w:rsidR="008A105A" w:rsidRPr="00DA498D" w:rsidRDefault="004669B2" w:rsidP="00DA498D">
      <w:pPr>
        <w:spacing w:after="0" w:line="360" w:lineRule="auto"/>
        <w:ind w:firstLine="720"/>
        <w:jc w:val="both"/>
        <w:rPr>
          <w:rFonts w:ascii="Sylfaen" w:hAnsi="Sylfaen"/>
          <w:color w:val="000000"/>
          <w:sz w:val="24"/>
          <w:szCs w:val="24"/>
          <w:lang w:val="en-GB"/>
        </w:rPr>
      </w:pPr>
      <w:r w:rsidRPr="00DA498D">
        <w:rPr>
          <w:rFonts w:ascii="Sylfaen" w:hAnsi="Sylfaen"/>
          <w:color w:val="000000"/>
          <w:sz w:val="24"/>
          <w:szCs w:val="24"/>
          <w:lang w:val="en-GB"/>
        </w:rPr>
        <w:t xml:space="preserve">The number of highly artistic products includes </w:t>
      </w:r>
      <w:r w:rsidRPr="00DA498D">
        <w:rPr>
          <w:rFonts w:ascii="Sylfaen" w:hAnsi="Sylfaen"/>
          <w:sz w:val="24"/>
          <w:szCs w:val="24"/>
          <w:lang w:val="en-GB"/>
        </w:rPr>
        <w:t>buckle</w:t>
      </w:r>
      <w:r w:rsidRPr="00DA498D">
        <w:rPr>
          <w:rFonts w:ascii="Sylfaen" w:hAnsi="Sylfaen"/>
          <w:color w:val="000000"/>
          <w:sz w:val="24"/>
          <w:szCs w:val="24"/>
          <w:lang w:val="en-GB"/>
        </w:rPr>
        <w:t>s (</w:t>
      </w:r>
      <w:r w:rsidRPr="00D7720D">
        <w:rPr>
          <w:rFonts w:ascii="Sylfaen" w:hAnsi="Sylfaen"/>
          <w:color w:val="4472C4" w:themeColor="accent1"/>
          <w:sz w:val="24"/>
          <w:szCs w:val="24"/>
          <w:lang w:val="en-GB"/>
        </w:rPr>
        <w:t>Tab. I/4, 6</w:t>
      </w:r>
      <w:r w:rsidRPr="00DA498D">
        <w:rPr>
          <w:rFonts w:ascii="Sylfaen" w:hAnsi="Sylfaen"/>
          <w:color w:val="000000"/>
          <w:sz w:val="24"/>
          <w:szCs w:val="24"/>
          <w:lang w:val="en-GB"/>
        </w:rPr>
        <w:t xml:space="preserve">). The surface of one of them is completely covered with graphic decoration. It was first found in southwestern Georgia. It resembles </w:t>
      </w:r>
      <w:r w:rsidR="008A105A" w:rsidRPr="00DA498D">
        <w:rPr>
          <w:rFonts w:ascii="Sylfaen" w:hAnsi="Sylfaen"/>
          <w:sz w:val="24"/>
          <w:szCs w:val="24"/>
          <w:lang w:val="en-GB"/>
        </w:rPr>
        <w:t>buckle</w:t>
      </w:r>
      <w:r w:rsidR="008A105A" w:rsidRPr="00DA498D">
        <w:rPr>
          <w:rFonts w:ascii="Sylfaen" w:hAnsi="Sylfaen"/>
          <w:color w:val="000000"/>
          <w:sz w:val="24"/>
          <w:szCs w:val="24"/>
          <w:lang w:val="en-GB"/>
        </w:rPr>
        <w:t xml:space="preserve">s </w:t>
      </w:r>
      <w:r w:rsidRPr="00DA498D">
        <w:rPr>
          <w:rFonts w:ascii="Sylfaen" w:hAnsi="Sylfaen"/>
          <w:color w:val="000000"/>
          <w:sz w:val="24"/>
          <w:szCs w:val="24"/>
          <w:lang w:val="en-GB"/>
        </w:rPr>
        <w:t xml:space="preserve">found in the tombs of the Tlia burial ground (Shida Kartli). Bracelets are also likened to </w:t>
      </w:r>
      <w:r w:rsidR="008A105A" w:rsidRPr="00DA498D">
        <w:rPr>
          <w:rFonts w:ascii="Sylfaen" w:hAnsi="Sylfaen"/>
          <w:color w:val="000000"/>
          <w:sz w:val="24"/>
          <w:szCs w:val="24"/>
          <w:lang w:val="en-GB"/>
        </w:rPr>
        <w:t>T</w:t>
      </w:r>
      <w:r w:rsidRPr="00DA498D">
        <w:rPr>
          <w:rFonts w:ascii="Sylfaen" w:hAnsi="Sylfaen"/>
          <w:color w:val="000000"/>
          <w:sz w:val="24"/>
          <w:szCs w:val="24"/>
          <w:lang w:val="en-GB"/>
        </w:rPr>
        <w:t>lia</w:t>
      </w:r>
      <w:r w:rsidR="008A105A" w:rsidRPr="00DA498D">
        <w:rPr>
          <w:rFonts w:ascii="Sylfaen" w:hAnsi="Sylfaen"/>
          <w:color w:val="000000"/>
          <w:sz w:val="24"/>
          <w:szCs w:val="24"/>
          <w:lang w:val="en-GB"/>
        </w:rPr>
        <w:t xml:space="preserve"> </w:t>
      </w:r>
      <w:r w:rsidRPr="00DA498D">
        <w:rPr>
          <w:rFonts w:ascii="Sylfaen" w:hAnsi="Sylfaen"/>
          <w:color w:val="000000"/>
          <w:sz w:val="24"/>
          <w:szCs w:val="24"/>
          <w:lang w:val="en-GB"/>
        </w:rPr>
        <w:t>materials (</w:t>
      </w:r>
      <w:r w:rsidRPr="00D7720D">
        <w:rPr>
          <w:rFonts w:ascii="Sylfaen" w:hAnsi="Sylfaen"/>
          <w:color w:val="4472C4" w:themeColor="accent1"/>
          <w:sz w:val="24"/>
          <w:szCs w:val="24"/>
          <w:lang w:val="en-GB"/>
        </w:rPr>
        <w:t>Tab. I/3</w:t>
      </w:r>
      <w:r w:rsidRPr="00DA498D">
        <w:rPr>
          <w:rFonts w:ascii="Sylfaen" w:hAnsi="Sylfaen"/>
          <w:color w:val="000000"/>
          <w:sz w:val="24"/>
          <w:szCs w:val="24"/>
          <w:lang w:val="en-GB"/>
        </w:rPr>
        <w:t>). Bronze rings of this type are also widespread in the Colchian-Kobanian and Central-Transcaucasian cultures. Another missing item has survived from the Zundag</w:t>
      </w:r>
      <w:r w:rsidR="008A105A" w:rsidRPr="00DA498D">
        <w:rPr>
          <w:rFonts w:ascii="Sylfaen" w:hAnsi="Sylfaen"/>
          <w:color w:val="000000"/>
          <w:sz w:val="24"/>
          <w:szCs w:val="24"/>
          <w:lang w:val="en-GB"/>
        </w:rPr>
        <w:t>a</w:t>
      </w:r>
      <w:r w:rsidRPr="00DA498D">
        <w:rPr>
          <w:rFonts w:ascii="Sylfaen" w:hAnsi="Sylfaen"/>
          <w:color w:val="000000"/>
          <w:sz w:val="24"/>
          <w:szCs w:val="24"/>
          <w:lang w:val="en-GB"/>
        </w:rPr>
        <w:t xml:space="preserve"> hoard, completely covered with a densely arranged wavy ornament. </w:t>
      </w:r>
      <w:r w:rsidR="008A105A" w:rsidRPr="00DA498D">
        <w:rPr>
          <w:rFonts w:ascii="Sylfaen" w:hAnsi="Sylfaen"/>
          <w:color w:val="000000"/>
          <w:sz w:val="24"/>
          <w:szCs w:val="24"/>
          <w:lang w:val="en-GB"/>
        </w:rPr>
        <w:t xml:space="preserve">It is believed </w:t>
      </w:r>
      <w:r w:rsidR="008A105A" w:rsidRPr="00DA498D">
        <w:rPr>
          <w:rFonts w:ascii="Sylfaen" w:eastAsia="Times New Roman" w:hAnsi="Sylfaen" w:cs="Times New Roman"/>
          <w:sz w:val="24"/>
          <w:szCs w:val="24"/>
          <w:lang w:val="en-US"/>
        </w:rPr>
        <w:t>that the artefact was likely associated with the hafting mechanism of a hammer</w:t>
      </w:r>
      <w:r w:rsidR="008A105A" w:rsidRPr="00DA498D">
        <w:rPr>
          <w:rFonts w:ascii="Sylfaen" w:hAnsi="Sylfaen"/>
          <w:color w:val="000000"/>
          <w:sz w:val="24"/>
          <w:szCs w:val="24"/>
          <w:lang w:val="en-GB"/>
        </w:rPr>
        <w:t xml:space="preserve">. </w:t>
      </w:r>
    </w:p>
    <w:p w14:paraId="73F56521" w14:textId="7A61B195" w:rsidR="008A105A" w:rsidRPr="00DA498D" w:rsidRDefault="008A105A" w:rsidP="00DA498D">
      <w:pPr>
        <w:spacing w:after="0" w:line="360" w:lineRule="auto"/>
        <w:ind w:firstLine="720"/>
        <w:jc w:val="both"/>
        <w:rPr>
          <w:rFonts w:ascii="Sylfaen" w:hAnsi="Sylfaen"/>
          <w:color w:val="000000"/>
          <w:sz w:val="24"/>
          <w:szCs w:val="24"/>
          <w:lang w:val="en-GB"/>
        </w:rPr>
      </w:pPr>
      <w:r w:rsidRPr="00DA498D">
        <w:rPr>
          <w:rFonts w:ascii="Sylfaen" w:eastAsia="Times New Roman" w:hAnsi="Sylfaen" w:cs="Times New Roman"/>
          <w:sz w:val="24"/>
          <w:szCs w:val="24"/>
          <w:lang w:val="en-US"/>
        </w:rPr>
        <w:t xml:space="preserve">According to the results of the research of the </w:t>
      </w:r>
      <w:r w:rsidR="00E2667A">
        <w:rPr>
          <w:rFonts w:ascii="Sylfaen" w:eastAsia="Times New Roman" w:hAnsi="Sylfaen" w:cs="Times New Roman"/>
          <w:sz w:val="24"/>
          <w:szCs w:val="24"/>
          <w:lang w:val="en-US"/>
        </w:rPr>
        <w:t>hoard</w:t>
      </w:r>
      <w:r w:rsidRPr="00DA498D">
        <w:rPr>
          <w:rFonts w:ascii="Sylfaen" w:eastAsia="Times New Roman" w:hAnsi="Sylfaen" w:cs="Times New Roman"/>
          <w:sz w:val="24"/>
          <w:szCs w:val="24"/>
          <w:lang w:val="en-US"/>
        </w:rPr>
        <w:t xml:space="preserve"> of Zundaga, the researchers conclude that Southwest Georgia, Ajara, the oldest and most important center of the </w:t>
      </w:r>
      <w:r w:rsidRPr="00DA498D">
        <w:rPr>
          <w:rFonts w:ascii="Sylfaen" w:hAnsi="Sylfaen"/>
          <w:color w:val="000000"/>
          <w:sz w:val="24"/>
          <w:szCs w:val="24"/>
          <w:lang w:val="en-GB"/>
        </w:rPr>
        <w:t>Colchian</w:t>
      </w:r>
      <w:r w:rsidRPr="00DA498D">
        <w:rPr>
          <w:rFonts w:ascii="Sylfaen" w:eastAsia="Times New Roman" w:hAnsi="Sylfaen" w:cs="Times New Roman"/>
          <w:sz w:val="24"/>
          <w:szCs w:val="24"/>
          <w:lang w:val="en-US"/>
        </w:rPr>
        <w:t xml:space="preserve"> culture, was connected with the Central-Transcaucasian, Iberian culture with the headwaters of the </w:t>
      </w:r>
      <w:r w:rsidR="00E2667A" w:rsidRPr="00DA498D">
        <w:rPr>
          <w:rFonts w:ascii="Sylfaen" w:eastAsia="Times New Roman" w:hAnsi="Sylfaen" w:cs="Times New Roman"/>
          <w:sz w:val="24"/>
          <w:szCs w:val="24"/>
          <w:lang w:val="en-US"/>
        </w:rPr>
        <w:t>A</w:t>
      </w:r>
      <w:r w:rsidR="00E2667A">
        <w:rPr>
          <w:rFonts w:ascii="Sylfaen" w:eastAsia="Times New Roman" w:hAnsi="Sylfaen" w:cs="Times New Roman"/>
          <w:sz w:val="24"/>
          <w:szCs w:val="24"/>
          <w:lang w:val="en-US"/>
        </w:rPr>
        <w:t>j</w:t>
      </w:r>
      <w:r w:rsidR="00E2667A" w:rsidRPr="00DA498D">
        <w:rPr>
          <w:rFonts w:ascii="Sylfaen" w:eastAsia="Times New Roman" w:hAnsi="Sylfaen" w:cs="Times New Roman"/>
          <w:sz w:val="24"/>
          <w:szCs w:val="24"/>
          <w:lang w:val="en-US"/>
        </w:rPr>
        <w:t>aris</w:t>
      </w:r>
      <w:r w:rsidR="00E2667A">
        <w:rPr>
          <w:rFonts w:ascii="Sylfaen" w:eastAsia="Times New Roman" w:hAnsi="Sylfaen" w:cs="Times New Roman"/>
          <w:sz w:val="24"/>
          <w:szCs w:val="24"/>
          <w:lang w:val="en-US"/>
        </w:rPr>
        <w:t>ts</w:t>
      </w:r>
      <w:r w:rsidR="00E2667A" w:rsidRPr="00DA498D">
        <w:rPr>
          <w:rFonts w:ascii="Sylfaen" w:eastAsia="Times New Roman" w:hAnsi="Sylfaen" w:cs="Times New Roman"/>
          <w:sz w:val="24"/>
          <w:szCs w:val="24"/>
          <w:lang w:val="en-US"/>
        </w:rPr>
        <w:t>kali</w:t>
      </w:r>
      <w:r w:rsidRPr="00DA498D">
        <w:rPr>
          <w:rFonts w:ascii="Sylfaen" w:eastAsia="Times New Roman" w:hAnsi="Sylfaen" w:cs="Times New Roman"/>
          <w:sz w:val="24"/>
          <w:szCs w:val="24"/>
          <w:lang w:val="en-US"/>
        </w:rPr>
        <w:t xml:space="preserve"> </w:t>
      </w:r>
      <w:r w:rsidR="00E2667A">
        <w:rPr>
          <w:rFonts w:ascii="Sylfaen" w:eastAsia="Times New Roman" w:hAnsi="Sylfaen" w:cs="Times New Roman"/>
          <w:sz w:val="24"/>
          <w:szCs w:val="24"/>
          <w:lang w:val="en-US"/>
        </w:rPr>
        <w:t>Gorge</w:t>
      </w:r>
      <w:r w:rsidRPr="00DA498D">
        <w:rPr>
          <w:rFonts w:ascii="Sylfaen" w:eastAsia="Times New Roman" w:hAnsi="Sylfaen" w:cs="Times New Roman"/>
          <w:sz w:val="24"/>
          <w:szCs w:val="24"/>
          <w:lang w:val="en-US"/>
        </w:rPr>
        <w:t>.</w:t>
      </w:r>
    </w:p>
    <w:p w14:paraId="28359781" w14:textId="5DEBF8E4" w:rsidR="008A105A" w:rsidRPr="00DA498D" w:rsidRDefault="008A105A" w:rsidP="00DA498D">
      <w:pPr>
        <w:spacing w:after="0" w:line="360" w:lineRule="auto"/>
        <w:ind w:firstLine="720"/>
        <w:jc w:val="both"/>
        <w:rPr>
          <w:rFonts w:ascii="Sylfaen" w:eastAsia="Times New Roman" w:hAnsi="Sylfaen" w:cs="Times New Roman"/>
          <w:sz w:val="24"/>
          <w:szCs w:val="24"/>
          <w:lang w:val="en-US"/>
        </w:rPr>
      </w:pPr>
      <w:r w:rsidRPr="00DA498D">
        <w:rPr>
          <w:rFonts w:ascii="Sylfaen" w:eastAsia="Times New Roman" w:hAnsi="Sylfaen" w:cs="Times New Roman"/>
          <w:sz w:val="24"/>
          <w:szCs w:val="24"/>
          <w:lang w:val="en-US"/>
        </w:rPr>
        <w:t>The discovered artefacts are stored in the</w:t>
      </w:r>
      <w:r w:rsidR="00D7720D">
        <w:rPr>
          <w:rFonts w:ascii="Sylfaen" w:eastAsia="Times New Roman" w:hAnsi="Sylfaen" w:cs="Times New Roman"/>
          <w:sz w:val="24"/>
          <w:szCs w:val="24"/>
          <w:lang w:val="en-US"/>
        </w:rPr>
        <w:t xml:space="preserve"> LEPL </w:t>
      </w:r>
      <w:r w:rsidRPr="00DA498D">
        <w:rPr>
          <w:rFonts w:ascii="Sylfaen" w:eastAsia="Times New Roman" w:hAnsi="Sylfaen" w:cs="Times New Roman"/>
          <w:sz w:val="24"/>
          <w:szCs w:val="24"/>
          <w:lang w:val="en-US"/>
        </w:rPr>
        <w:t>Ajara Museum</w:t>
      </w:r>
      <w:r w:rsidR="00D7720D">
        <w:rPr>
          <w:rFonts w:ascii="Sylfaen" w:eastAsia="Times New Roman" w:hAnsi="Sylfaen" w:cs="Times New Roman"/>
          <w:sz w:val="24"/>
          <w:szCs w:val="24"/>
          <w:lang w:val="en-US"/>
        </w:rPr>
        <w:t xml:space="preserve"> - </w:t>
      </w:r>
      <w:r w:rsidRPr="00DA498D">
        <w:rPr>
          <w:rFonts w:ascii="Sylfaen" w:eastAsia="Times New Roman" w:hAnsi="Sylfaen" w:cs="Times New Roman"/>
          <w:sz w:val="24"/>
          <w:szCs w:val="24"/>
          <w:lang w:val="en-US"/>
        </w:rPr>
        <w:t>Amiran Kakhidze Ajara Archaeological Museum.</w:t>
      </w:r>
    </w:p>
    <w:p w14:paraId="05163447" w14:textId="77777777" w:rsidR="008A105A" w:rsidRPr="00DA498D" w:rsidRDefault="008A105A" w:rsidP="00DA498D">
      <w:pPr>
        <w:spacing w:after="0" w:line="360" w:lineRule="auto"/>
        <w:ind w:firstLine="720"/>
        <w:rPr>
          <w:rFonts w:ascii="Sylfaen" w:hAnsi="Sylfaen"/>
          <w:color w:val="000000"/>
          <w:sz w:val="24"/>
          <w:szCs w:val="24"/>
          <w:lang w:val="en-GB"/>
        </w:rPr>
      </w:pPr>
      <w:r w:rsidRPr="00DA498D">
        <w:rPr>
          <w:rFonts w:ascii="Sylfaen" w:hAnsi="Sylfaen"/>
          <w:b/>
          <w:bCs/>
          <w:color w:val="000000"/>
          <w:sz w:val="24"/>
          <w:szCs w:val="24"/>
          <w:lang w:val="en-GB"/>
        </w:rPr>
        <w:t>Bibliography</w:t>
      </w:r>
      <w:r w:rsidRPr="00DA498D">
        <w:rPr>
          <w:rFonts w:ascii="Sylfaen" w:hAnsi="Sylfaen"/>
          <w:color w:val="000000"/>
          <w:sz w:val="24"/>
          <w:szCs w:val="24"/>
          <w:lang w:val="en-GB"/>
        </w:rPr>
        <w:t>:</w:t>
      </w:r>
    </w:p>
    <w:p w14:paraId="63699771" w14:textId="6F61F987" w:rsidR="001D6366" w:rsidRPr="001D6366" w:rsidRDefault="008A105A" w:rsidP="001D6366">
      <w:pPr>
        <w:pStyle w:val="ListParagraph"/>
        <w:numPr>
          <w:ilvl w:val="0"/>
          <w:numId w:val="1"/>
        </w:numPr>
        <w:spacing w:after="0" w:line="360" w:lineRule="auto"/>
        <w:jc w:val="both"/>
        <w:rPr>
          <w:rFonts w:ascii="Sylfaen" w:hAnsi="Sylfaen"/>
          <w:color w:val="000000"/>
          <w:sz w:val="24"/>
          <w:szCs w:val="24"/>
          <w:lang w:val="en-GB"/>
        </w:rPr>
      </w:pPr>
      <w:r w:rsidRPr="001D6366">
        <w:rPr>
          <w:rFonts w:ascii="Sylfaen" w:hAnsi="Sylfaen"/>
          <w:color w:val="000000"/>
          <w:sz w:val="24"/>
          <w:szCs w:val="24"/>
          <w:lang w:val="en-GB"/>
        </w:rPr>
        <w:lastRenderedPageBreak/>
        <w:t xml:space="preserve">Kakhidze A., Mamuladze Sh., Chorokhi basin, the ancient </w:t>
      </w:r>
      <w:r w:rsidR="0004415E" w:rsidRPr="001D6366">
        <w:rPr>
          <w:rFonts w:ascii="Sylfaen" w:hAnsi="Sylfaen"/>
          <w:color w:val="000000"/>
          <w:sz w:val="24"/>
          <w:szCs w:val="24"/>
          <w:lang w:val="en-GB"/>
        </w:rPr>
        <w:t>centre</w:t>
      </w:r>
      <w:r w:rsidRPr="001D6366">
        <w:rPr>
          <w:rFonts w:ascii="Sylfaen" w:hAnsi="Sylfaen"/>
          <w:color w:val="000000"/>
          <w:sz w:val="24"/>
          <w:szCs w:val="24"/>
          <w:lang w:val="en-GB"/>
        </w:rPr>
        <w:t xml:space="preserve"> of Colchian</w:t>
      </w:r>
      <w:r w:rsidRPr="001D6366">
        <w:rPr>
          <w:rFonts w:ascii="Sylfaen" w:eastAsia="Times New Roman" w:hAnsi="Sylfaen" w:cs="Times New Roman"/>
          <w:sz w:val="24"/>
          <w:szCs w:val="24"/>
          <w:lang w:val="en-US"/>
        </w:rPr>
        <w:t xml:space="preserve"> </w:t>
      </w:r>
      <w:r w:rsidRPr="001D6366">
        <w:rPr>
          <w:rFonts w:ascii="Sylfaen" w:hAnsi="Sylfaen"/>
          <w:color w:val="000000"/>
          <w:sz w:val="24"/>
          <w:szCs w:val="24"/>
          <w:lang w:val="en-GB"/>
        </w:rPr>
        <w:t xml:space="preserve">culture, Batumi, 2000, p. 74-83. </w:t>
      </w:r>
    </w:p>
    <w:p w14:paraId="16A3FE85" w14:textId="71E5E127" w:rsidR="001D6366" w:rsidRDefault="008A105A" w:rsidP="001D6366">
      <w:pPr>
        <w:pStyle w:val="ListParagraph"/>
        <w:numPr>
          <w:ilvl w:val="0"/>
          <w:numId w:val="1"/>
        </w:numPr>
        <w:spacing w:after="0" w:line="360" w:lineRule="auto"/>
        <w:jc w:val="both"/>
        <w:rPr>
          <w:rFonts w:ascii="Sylfaen" w:hAnsi="Sylfaen"/>
          <w:color w:val="000000"/>
          <w:sz w:val="24"/>
          <w:szCs w:val="24"/>
          <w:lang w:val="en-GB"/>
        </w:rPr>
      </w:pPr>
      <w:r w:rsidRPr="001D6366">
        <w:rPr>
          <w:rFonts w:ascii="Sylfaen" w:hAnsi="Sylfaen"/>
          <w:color w:val="000000"/>
          <w:sz w:val="24"/>
          <w:szCs w:val="24"/>
          <w:lang w:val="en-GB"/>
        </w:rPr>
        <w:t xml:space="preserve">Kakhidze A., Monuments of the pre-Christian era of Ajara </w:t>
      </w:r>
      <w:r w:rsidR="00DA498D" w:rsidRPr="001D6366">
        <w:rPr>
          <w:rFonts w:ascii="Sylfaen" w:hAnsi="Sylfaen"/>
          <w:color w:val="000000"/>
          <w:sz w:val="24"/>
          <w:szCs w:val="24"/>
          <w:lang w:val="en-GB"/>
        </w:rPr>
        <w:t>Mountains</w:t>
      </w:r>
      <w:r w:rsidRPr="001D6366">
        <w:rPr>
          <w:rFonts w:ascii="Sylfaen" w:hAnsi="Sylfaen"/>
          <w:color w:val="000000"/>
          <w:sz w:val="24"/>
          <w:szCs w:val="24"/>
          <w:lang w:val="en-GB"/>
        </w:rPr>
        <w:t>. - Essays on the history of southwestern Georgia, Ajara (from ancient times to the 5th century AD), Volume I, Batumi, 2007, p. 227-240.</w:t>
      </w:r>
    </w:p>
    <w:p w14:paraId="49DDF2D7" w14:textId="2C67E146" w:rsidR="008A105A" w:rsidRPr="001D6366" w:rsidRDefault="008A105A" w:rsidP="001D6366">
      <w:pPr>
        <w:pStyle w:val="ListParagraph"/>
        <w:numPr>
          <w:ilvl w:val="0"/>
          <w:numId w:val="1"/>
        </w:numPr>
        <w:spacing w:after="0" w:line="360" w:lineRule="auto"/>
        <w:jc w:val="both"/>
        <w:rPr>
          <w:rFonts w:ascii="Sylfaen" w:hAnsi="Sylfaen"/>
          <w:color w:val="000000"/>
          <w:sz w:val="24"/>
          <w:szCs w:val="24"/>
          <w:lang w:val="en-GB"/>
        </w:rPr>
      </w:pPr>
      <w:r w:rsidRPr="001D6366">
        <w:rPr>
          <w:rFonts w:ascii="Sylfaen" w:hAnsi="Sylfaen"/>
          <w:color w:val="000000"/>
          <w:sz w:val="24"/>
          <w:szCs w:val="24"/>
          <w:lang w:val="en-GB"/>
        </w:rPr>
        <w:t xml:space="preserve">Kakhidze A., Surmanidze N., Nagervadze M., </w:t>
      </w:r>
      <w:r w:rsidR="00DA498D" w:rsidRPr="001D6366">
        <w:rPr>
          <w:rFonts w:ascii="Sylfaen" w:hAnsi="Sylfaen"/>
          <w:color w:val="000000"/>
          <w:sz w:val="24"/>
          <w:szCs w:val="24"/>
          <w:lang w:val="en-GB"/>
        </w:rPr>
        <w:t xml:space="preserve">Ajara in the Eneolithic-Bronze and Early Iron Ages </w:t>
      </w:r>
      <w:r w:rsidRPr="001D6366">
        <w:rPr>
          <w:rFonts w:ascii="Sylfaen" w:hAnsi="Sylfaen"/>
          <w:color w:val="000000"/>
          <w:sz w:val="24"/>
          <w:szCs w:val="24"/>
          <w:lang w:val="en-GB"/>
        </w:rPr>
        <w:t>(Catalogue), Batumi, 2016, p. 74-76</w:t>
      </w:r>
    </w:p>
    <w:p w14:paraId="62BA0F93" w14:textId="77777777" w:rsidR="004669B2" w:rsidRPr="00DA498D" w:rsidRDefault="004669B2" w:rsidP="00DA498D">
      <w:pPr>
        <w:spacing w:after="0" w:line="360" w:lineRule="auto"/>
        <w:ind w:firstLine="720"/>
        <w:jc w:val="both"/>
        <w:rPr>
          <w:rFonts w:ascii="Sylfaen" w:hAnsi="Sylfaen"/>
          <w:color w:val="000000"/>
          <w:sz w:val="24"/>
          <w:szCs w:val="24"/>
          <w:lang w:val="en-GB"/>
        </w:rPr>
      </w:pPr>
    </w:p>
    <w:p w14:paraId="16F462B5" w14:textId="77777777" w:rsidR="004669B2" w:rsidRPr="00DA498D" w:rsidRDefault="004669B2" w:rsidP="00DA498D">
      <w:pPr>
        <w:spacing w:after="0" w:line="360" w:lineRule="auto"/>
        <w:ind w:firstLine="720"/>
        <w:jc w:val="both"/>
        <w:rPr>
          <w:rFonts w:ascii="Sylfaen" w:hAnsi="Sylfaen"/>
          <w:sz w:val="24"/>
          <w:szCs w:val="24"/>
          <w:lang w:val="en-GB"/>
        </w:rPr>
      </w:pPr>
    </w:p>
    <w:p w14:paraId="1376CB0A" w14:textId="1CAEA30F" w:rsidR="001D6366" w:rsidRPr="00DA498D" w:rsidRDefault="001D6366" w:rsidP="001D6366">
      <w:pPr>
        <w:spacing w:after="0" w:line="360" w:lineRule="auto"/>
        <w:ind w:firstLine="720"/>
        <w:jc w:val="both"/>
        <w:rPr>
          <w:rFonts w:ascii="Sylfaen" w:hAnsi="Sylfaen"/>
          <w:color w:val="000000"/>
          <w:sz w:val="24"/>
          <w:szCs w:val="24"/>
          <w:lang w:val="en-GB"/>
        </w:rPr>
      </w:pPr>
      <w:r w:rsidRPr="00DA498D">
        <w:rPr>
          <w:rStyle w:val="Strong"/>
          <w:rFonts w:ascii="Sylfaen" w:hAnsi="Sylfaen"/>
          <w:color w:val="000000"/>
          <w:sz w:val="24"/>
          <w:szCs w:val="24"/>
          <w:lang w:val="en-GB"/>
        </w:rPr>
        <w:t>Passport compiled by:</w:t>
      </w:r>
      <w:r w:rsidRPr="00DA498D">
        <w:rPr>
          <w:rStyle w:val="apple-converted-space"/>
          <w:rFonts w:ascii="Sylfaen" w:hAnsi="Sylfaen"/>
          <w:color w:val="000000"/>
          <w:sz w:val="24"/>
          <w:szCs w:val="24"/>
          <w:lang w:val="en-GB"/>
        </w:rPr>
        <w:t> </w:t>
      </w:r>
      <w:r w:rsidRPr="00DA498D">
        <w:rPr>
          <w:rStyle w:val="Strong"/>
          <w:rFonts w:ascii="Sylfaen" w:hAnsi="Sylfaen"/>
          <w:color w:val="000000"/>
          <w:sz w:val="24"/>
          <w:szCs w:val="24"/>
          <w:lang w:val="en-GB"/>
        </w:rPr>
        <w:t>Nargiz Surmanidze</w:t>
      </w:r>
      <w:r w:rsidRPr="00DA498D">
        <w:rPr>
          <w:rFonts w:ascii="Sylfaen" w:hAnsi="Sylfaen"/>
          <w:color w:val="000000"/>
          <w:sz w:val="24"/>
          <w:szCs w:val="24"/>
          <w:lang w:val="en-GB"/>
        </w:rPr>
        <w:t>, PhD in History, LEPL Adjara Museum - Amiran Kakhidze Ajara Archaeological Museum</w:t>
      </w:r>
      <w:r>
        <w:rPr>
          <w:rFonts w:ascii="Sylfaen" w:hAnsi="Sylfaen"/>
          <w:color w:val="000000"/>
          <w:sz w:val="24"/>
          <w:szCs w:val="24"/>
          <w:lang w:val="en-GB"/>
        </w:rPr>
        <w:t xml:space="preserve">, </w:t>
      </w:r>
      <w:r w:rsidRPr="00DA498D">
        <w:rPr>
          <w:rFonts w:ascii="Sylfaen" w:hAnsi="Sylfaen"/>
          <w:color w:val="000000"/>
          <w:sz w:val="24"/>
          <w:szCs w:val="24"/>
          <w:lang w:val="en-GB"/>
        </w:rPr>
        <w:t>Researche</w:t>
      </w:r>
      <w:r>
        <w:rPr>
          <w:rFonts w:ascii="Sylfaen" w:hAnsi="Sylfaen"/>
          <w:color w:val="000000"/>
          <w:sz w:val="24"/>
          <w:szCs w:val="24"/>
          <w:lang w:val="en-GB"/>
        </w:rPr>
        <w:t>r</w:t>
      </w:r>
    </w:p>
    <w:p w14:paraId="387B673C" w14:textId="77777777" w:rsidR="004669B2" w:rsidRPr="00DA498D" w:rsidRDefault="004669B2" w:rsidP="00D7720D">
      <w:pPr>
        <w:spacing w:after="0" w:line="360" w:lineRule="auto"/>
        <w:jc w:val="both"/>
        <w:rPr>
          <w:rFonts w:ascii="Sylfaen" w:hAnsi="Sylfaen"/>
          <w:sz w:val="24"/>
          <w:szCs w:val="24"/>
          <w:lang w:val="en-GB"/>
        </w:rPr>
      </w:pPr>
    </w:p>
    <w:sectPr w:rsidR="004669B2" w:rsidRPr="00DA498D" w:rsidSect="009D2FA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ylfaen">
    <w:panose1 w:val="010A0502050306030303"/>
    <w:charset w:val="CC"/>
    <w:family w:val="roman"/>
    <w:pitch w:val="variable"/>
    <w:sig w:usb0="040006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1F9397F"/>
    <w:multiLevelType w:val="hybridMultilevel"/>
    <w:tmpl w:val="DA0CAE0C"/>
    <w:lvl w:ilvl="0" w:tplc="CD888A16">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16cid:durableId="19299205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342F"/>
    <w:rsid w:val="0004415E"/>
    <w:rsid w:val="00063434"/>
    <w:rsid w:val="001D6366"/>
    <w:rsid w:val="00330A83"/>
    <w:rsid w:val="00364757"/>
    <w:rsid w:val="003D2C7F"/>
    <w:rsid w:val="004669B2"/>
    <w:rsid w:val="0069342F"/>
    <w:rsid w:val="006E38E4"/>
    <w:rsid w:val="008A105A"/>
    <w:rsid w:val="009D2FA5"/>
    <w:rsid w:val="00A66EB3"/>
    <w:rsid w:val="00A96BC4"/>
    <w:rsid w:val="00AB49FE"/>
    <w:rsid w:val="00B15A01"/>
    <w:rsid w:val="00B90953"/>
    <w:rsid w:val="00D7720D"/>
    <w:rsid w:val="00DA498D"/>
    <w:rsid w:val="00E2667A"/>
    <w:rsid w:val="00EC6D1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AACB4B"/>
  <w15:chartTrackingRefBased/>
  <w15:docId w15:val="{C4142CAE-CEFE-D74B-BF07-8DD86F454C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9342F"/>
    <w:pPr>
      <w:spacing w:after="200" w:line="276" w:lineRule="auto"/>
    </w:pPr>
    <w:rPr>
      <w:kern w:val="0"/>
      <w:sz w:val="22"/>
      <w:szCs w:val="22"/>
      <w:lang w:val="ru-RU"/>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4669B2"/>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Strong">
    <w:name w:val="Strong"/>
    <w:basedOn w:val="DefaultParagraphFont"/>
    <w:uiPriority w:val="22"/>
    <w:qFormat/>
    <w:rsid w:val="004669B2"/>
    <w:rPr>
      <w:b/>
      <w:bCs/>
    </w:rPr>
  </w:style>
  <w:style w:type="character" w:customStyle="1" w:styleId="apple-converted-space">
    <w:name w:val="apple-converted-space"/>
    <w:basedOn w:val="DefaultParagraphFont"/>
    <w:rsid w:val="004669B2"/>
  </w:style>
  <w:style w:type="paragraph" w:styleId="ListParagraph">
    <w:name w:val="List Paragraph"/>
    <w:basedOn w:val="Normal"/>
    <w:uiPriority w:val="34"/>
    <w:qFormat/>
    <w:rsid w:val="004669B2"/>
    <w:pPr>
      <w:ind w:left="720"/>
      <w:contextualSpacing/>
    </w:pPr>
  </w:style>
  <w:style w:type="character" w:styleId="Hyperlink">
    <w:name w:val="Hyperlink"/>
    <w:basedOn w:val="DefaultParagraphFont"/>
    <w:uiPriority w:val="99"/>
    <w:unhideWhenUsed/>
    <w:rsid w:val="008A105A"/>
    <w:rPr>
      <w:color w:val="0563C1" w:themeColor="hyperlink"/>
      <w:u w:val="single"/>
    </w:rPr>
  </w:style>
  <w:style w:type="character" w:styleId="UnresolvedMention">
    <w:name w:val="Unresolved Mention"/>
    <w:basedOn w:val="DefaultParagraphFont"/>
    <w:uiPriority w:val="99"/>
    <w:semiHidden/>
    <w:unhideWhenUsed/>
    <w:rsid w:val="008A105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4949806">
      <w:bodyDiv w:val="1"/>
      <w:marLeft w:val="0"/>
      <w:marRight w:val="0"/>
      <w:marTop w:val="0"/>
      <w:marBottom w:val="0"/>
      <w:divBdr>
        <w:top w:val="none" w:sz="0" w:space="0" w:color="auto"/>
        <w:left w:val="none" w:sz="0" w:space="0" w:color="auto"/>
        <w:bottom w:val="none" w:sz="0" w:space="0" w:color="auto"/>
        <w:right w:val="none" w:sz="0" w:space="0" w:color="auto"/>
      </w:divBdr>
    </w:div>
    <w:div w:id="1158617435">
      <w:bodyDiv w:val="1"/>
      <w:marLeft w:val="0"/>
      <w:marRight w:val="0"/>
      <w:marTop w:val="0"/>
      <w:marBottom w:val="0"/>
      <w:divBdr>
        <w:top w:val="none" w:sz="0" w:space="0" w:color="auto"/>
        <w:left w:val="none" w:sz="0" w:space="0" w:color="auto"/>
        <w:bottom w:val="none" w:sz="0" w:space="0" w:color="auto"/>
        <w:right w:val="none" w:sz="0" w:space="0" w:color="auto"/>
      </w:divBdr>
    </w:div>
    <w:div w:id="21045707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tools.wmflabs.org/geohack/geohack.php?language=ka&amp;pagename=%E1%83%96%E1%83%A3%E1%83%9C%E1%83%93%E1%83%90%E1%83%92%E1%83%90&amp;params=41_34_42.4_N_41_49_32.9_E_type:city(40361)_region:GE"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49</TotalTime>
  <Pages>1</Pages>
  <Words>689</Words>
  <Characters>3932</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Microsoft Office</dc:creator>
  <cp:keywords/>
  <dc:description/>
  <cp:lastModifiedBy>Windows</cp:lastModifiedBy>
  <cp:revision>13</cp:revision>
  <dcterms:created xsi:type="dcterms:W3CDTF">2026-06-16T12:51:00Z</dcterms:created>
  <dcterms:modified xsi:type="dcterms:W3CDTF">2026-07-03T08:11:00Z</dcterms:modified>
</cp:coreProperties>
</file>