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3D5FEB" w14:textId="77777777" w:rsidR="0069342F" w:rsidRPr="0036269B" w:rsidRDefault="0069342F" w:rsidP="0036269B">
      <w:pPr>
        <w:spacing w:after="0" w:line="360" w:lineRule="auto"/>
        <w:jc w:val="center"/>
        <w:rPr>
          <w:rFonts w:ascii="Sylfaen" w:hAnsi="Sylfaen"/>
          <w:b/>
          <w:bCs/>
          <w:sz w:val="24"/>
          <w:szCs w:val="24"/>
          <w:lang w:val="en-GB"/>
        </w:rPr>
      </w:pPr>
      <w:r w:rsidRPr="0036269B">
        <w:rPr>
          <w:rFonts w:ascii="Sylfaen" w:hAnsi="Sylfaen"/>
          <w:b/>
          <w:bCs/>
          <w:sz w:val="24"/>
          <w:szCs w:val="24"/>
          <w:lang w:val="en-GB"/>
        </w:rPr>
        <w:t>Passport of Archaeological Monument</w:t>
      </w:r>
    </w:p>
    <w:p w14:paraId="7C95B9AC" w14:textId="77777777" w:rsidR="00DA498D" w:rsidRPr="0036269B" w:rsidRDefault="00DA498D" w:rsidP="0036269B">
      <w:pPr>
        <w:spacing w:after="0" w:line="360" w:lineRule="auto"/>
        <w:jc w:val="center"/>
        <w:rPr>
          <w:rFonts w:ascii="Sylfaen" w:hAnsi="Sylfaen"/>
          <w:b/>
          <w:bCs/>
          <w:sz w:val="24"/>
          <w:szCs w:val="24"/>
          <w:lang w:val="en-GB"/>
        </w:rPr>
      </w:pPr>
    </w:p>
    <w:p w14:paraId="1700ECB4" w14:textId="77777777" w:rsidR="0069342F" w:rsidRPr="0036269B" w:rsidRDefault="0069342F" w:rsidP="0036269B">
      <w:pPr>
        <w:tabs>
          <w:tab w:val="left" w:pos="360"/>
        </w:tabs>
        <w:spacing w:after="0" w:line="360" w:lineRule="auto"/>
        <w:ind w:firstLine="720"/>
        <w:jc w:val="both"/>
        <w:rPr>
          <w:rFonts w:ascii="Sylfaen" w:hAnsi="Sylfaen"/>
          <w:sz w:val="24"/>
          <w:szCs w:val="24"/>
          <w:lang w:val="en-GB"/>
        </w:rPr>
      </w:pPr>
      <w:r w:rsidRPr="0036269B">
        <w:rPr>
          <w:rFonts w:ascii="Sylfaen" w:hAnsi="Sylfaen"/>
          <w:b/>
          <w:bCs/>
          <w:sz w:val="24"/>
          <w:szCs w:val="24"/>
          <w:lang w:val="en-GB"/>
        </w:rPr>
        <w:t>Name of archaeological site</w:t>
      </w:r>
      <w:r w:rsidRPr="0036269B">
        <w:rPr>
          <w:rFonts w:ascii="Sylfaen" w:hAnsi="Sylfaen"/>
          <w:sz w:val="24"/>
          <w:szCs w:val="24"/>
          <w:lang w:val="en-GB"/>
        </w:rPr>
        <w:t xml:space="preserve">: </w:t>
      </w:r>
      <w:r w:rsidR="005D3901">
        <w:rPr>
          <w:rFonts w:ascii="Sylfaen" w:hAnsi="Sylfaen"/>
          <w:sz w:val="24"/>
          <w:szCs w:val="24"/>
          <w:lang w:val="en-GB"/>
        </w:rPr>
        <w:t>Chaisubani</w:t>
      </w:r>
    </w:p>
    <w:p w14:paraId="19857A8D" w14:textId="77777777" w:rsidR="008826AF" w:rsidRPr="0036269B" w:rsidRDefault="0069342F" w:rsidP="0036269B">
      <w:pPr>
        <w:tabs>
          <w:tab w:val="left" w:pos="360"/>
        </w:tabs>
        <w:spacing w:after="0" w:line="360" w:lineRule="auto"/>
        <w:ind w:firstLine="720"/>
        <w:jc w:val="both"/>
        <w:rPr>
          <w:rFonts w:ascii="Sylfaen" w:hAnsi="Sylfaen"/>
          <w:sz w:val="24"/>
          <w:szCs w:val="24"/>
          <w:lang w:val="en-GB"/>
        </w:rPr>
      </w:pPr>
      <w:r w:rsidRPr="0036269B">
        <w:rPr>
          <w:rFonts w:ascii="Sylfaen" w:hAnsi="Sylfaen"/>
          <w:b/>
          <w:bCs/>
          <w:sz w:val="24"/>
          <w:szCs w:val="24"/>
          <w:lang w:val="en-GB"/>
        </w:rPr>
        <w:t>Type of archaeological site:</w:t>
      </w:r>
      <w:r w:rsidRPr="0036269B">
        <w:rPr>
          <w:rFonts w:ascii="Sylfaen" w:hAnsi="Sylfaen"/>
          <w:sz w:val="24"/>
          <w:szCs w:val="24"/>
          <w:lang w:val="en-GB"/>
        </w:rPr>
        <w:t xml:space="preserve"> </w:t>
      </w:r>
      <w:r w:rsidR="005D3901" w:rsidRPr="005D3901">
        <w:rPr>
          <w:rFonts w:ascii="Sylfaen" w:hAnsi="Sylfaen"/>
          <w:sz w:val="24"/>
          <w:szCs w:val="24"/>
          <w:lang w:val="en-GB"/>
        </w:rPr>
        <w:t>Accidental discovery</w:t>
      </w:r>
    </w:p>
    <w:p w14:paraId="30BB3FCD" w14:textId="77777777" w:rsidR="0069342F" w:rsidRPr="0036269B" w:rsidRDefault="0069342F" w:rsidP="0036269B">
      <w:pPr>
        <w:tabs>
          <w:tab w:val="left" w:pos="360"/>
        </w:tabs>
        <w:spacing w:after="0" w:line="360" w:lineRule="auto"/>
        <w:ind w:firstLine="720"/>
        <w:jc w:val="both"/>
        <w:rPr>
          <w:rFonts w:ascii="Sylfaen" w:hAnsi="Sylfaen"/>
          <w:sz w:val="24"/>
          <w:szCs w:val="24"/>
          <w:lang w:val="en-GB"/>
        </w:rPr>
      </w:pPr>
      <w:r w:rsidRPr="0036269B">
        <w:rPr>
          <w:rFonts w:ascii="Sylfaen" w:hAnsi="Sylfaen"/>
          <w:b/>
          <w:bCs/>
          <w:sz w:val="24"/>
          <w:szCs w:val="24"/>
          <w:lang w:val="en-GB"/>
        </w:rPr>
        <w:t>Chronological attribution (historical era, exact date)</w:t>
      </w:r>
      <w:r w:rsidRPr="0036269B">
        <w:rPr>
          <w:rFonts w:ascii="Sylfaen" w:hAnsi="Sylfaen"/>
          <w:sz w:val="24"/>
          <w:szCs w:val="24"/>
          <w:lang w:val="en-GB"/>
        </w:rPr>
        <w:t xml:space="preserve"> - </w:t>
      </w:r>
      <w:r w:rsidR="005D3901" w:rsidRPr="005D3901">
        <w:rPr>
          <w:rFonts w:ascii="Sylfaen" w:hAnsi="Sylfaen"/>
          <w:sz w:val="24"/>
          <w:szCs w:val="24"/>
          <w:lang w:val="en-GB"/>
        </w:rPr>
        <w:t>Ancient period, 4th–3rd century BC</w:t>
      </w:r>
    </w:p>
    <w:p w14:paraId="2BCEB41F" w14:textId="77777777" w:rsidR="008D6917" w:rsidRPr="008D6917" w:rsidRDefault="0069342F" w:rsidP="008D6917">
      <w:pPr>
        <w:tabs>
          <w:tab w:val="left" w:pos="360"/>
        </w:tabs>
        <w:spacing w:after="0" w:line="360" w:lineRule="auto"/>
        <w:ind w:firstLine="720"/>
        <w:jc w:val="both"/>
        <w:rPr>
          <w:rFonts w:ascii="Sylfaen" w:hAnsi="Sylfaen"/>
          <w:sz w:val="24"/>
          <w:szCs w:val="24"/>
          <w:lang w:val="ka-GE"/>
        </w:rPr>
      </w:pPr>
      <w:r w:rsidRPr="0036269B">
        <w:rPr>
          <w:rFonts w:ascii="Sylfaen" w:hAnsi="Sylfaen"/>
          <w:b/>
          <w:bCs/>
          <w:sz w:val="24"/>
          <w:szCs w:val="24"/>
          <w:lang w:val="en-GB"/>
        </w:rPr>
        <w:t>Address (municipality, city, village, valley, GPS Coordinates)</w:t>
      </w:r>
      <w:r w:rsidRPr="0036269B">
        <w:rPr>
          <w:rFonts w:ascii="Sylfaen" w:hAnsi="Sylfaen"/>
          <w:sz w:val="24"/>
          <w:szCs w:val="24"/>
          <w:lang w:val="en-GB"/>
        </w:rPr>
        <w:t xml:space="preserve"> - </w:t>
      </w:r>
      <w:r w:rsidR="005D3901" w:rsidRPr="005D3901">
        <w:rPr>
          <w:rFonts w:ascii="Sylfaen" w:hAnsi="Sylfaen"/>
          <w:sz w:val="24"/>
          <w:szCs w:val="24"/>
          <w:lang w:val="en-GB"/>
        </w:rPr>
        <w:t>Kobuleti Municipality, Chaisubani Village, Chakvistskali Gorge</w:t>
      </w:r>
      <w:r w:rsidR="008D6917">
        <w:rPr>
          <w:rFonts w:ascii="Sylfaen" w:hAnsi="Sylfaen"/>
          <w:sz w:val="24"/>
          <w:szCs w:val="24"/>
          <w:lang w:val="en-GB"/>
        </w:rPr>
        <w:t xml:space="preserve">, </w:t>
      </w:r>
      <w:r w:rsidR="008D6917" w:rsidRPr="008D6917">
        <w:rPr>
          <w:rFonts w:ascii="Sylfaen" w:hAnsi="Sylfaen"/>
          <w:sz w:val="24"/>
          <w:szCs w:val="24"/>
          <w:lang w:val="en-US"/>
        </w:rPr>
        <w:t>41°42'22.7"N 41°45'21.4"E</w:t>
      </w:r>
    </w:p>
    <w:p w14:paraId="7109A7C9" w14:textId="77777777" w:rsidR="0069342F" w:rsidRPr="0036269B" w:rsidRDefault="0069342F" w:rsidP="0036269B">
      <w:pPr>
        <w:spacing w:after="0" w:line="360" w:lineRule="auto"/>
        <w:ind w:firstLine="720"/>
        <w:jc w:val="both"/>
        <w:rPr>
          <w:rFonts w:ascii="Sylfaen" w:hAnsi="Sylfaen"/>
          <w:b/>
          <w:bCs/>
          <w:sz w:val="24"/>
          <w:szCs w:val="24"/>
          <w:lang w:val="en-GB"/>
        </w:rPr>
      </w:pPr>
      <w:r w:rsidRPr="0036269B">
        <w:rPr>
          <w:rFonts w:ascii="Sylfaen" w:hAnsi="Sylfaen"/>
          <w:b/>
          <w:bCs/>
          <w:sz w:val="24"/>
          <w:szCs w:val="24"/>
          <w:lang w:val="en-GB"/>
        </w:rPr>
        <w:t>History of study/research (circumstances of discovery, studies conducted on the monument, researchers working on the monument, bibliography):</w:t>
      </w:r>
    </w:p>
    <w:p w14:paraId="1A76C907" w14:textId="77777777" w:rsidR="00AE651F" w:rsidRPr="00AE651F" w:rsidRDefault="008826AF" w:rsidP="00AE651F">
      <w:pPr>
        <w:pStyle w:val="NormalWeb"/>
        <w:spacing w:before="0" w:beforeAutospacing="0" w:after="0" w:afterAutospacing="0" w:line="360" w:lineRule="auto"/>
        <w:ind w:firstLine="720"/>
        <w:jc w:val="both"/>
        <w:rPr>
          <w:rFonts w:ascii="Sylfaen" w:hAnsi="Sylfaen"/>
          <w:color w:val="000000"/>
        </w:rPr>
      </w:pPr>
      <w:r w:rsidRPr="00AE651F">
        <w:rPr>
          <w:rFonts w:ascii="Sylfaen" w:hAnsi="Sylfaen"/>
          <w:b/>
          <w:bCs/>
          <w:lang w:val="en-GB"/>
        </w:rPr>
        <w:t>Circumstances of discovery</w:t>
      </w:r>
      <w:r w:rsidR="0069342F" w:rsidRPr="00AE651F">
        <w:rPr>
          <w:rFonts w:ascii="Sylfaen" w:hAnsi="Sylfaen"/>
          <w:b/>
          <w:bCs/>
          <w:lang w:val="en-GB"/>
        </w:rPr>
        <w:t>:</w:t>
      </w:r>
      <w:r w:rsidR="00AE651F" w:rsidRPr="00AE651F">
        <w:rPr>
          <w:rFonts w:ascii="Sylfaen" w:hAnsi="Sylfaen"/>
          <w:b/>
          <w:bCs/>
          <w:lang w:val="en-GB"/>
        </w:rPr>
        <w:t xml:space="preserve"> </w:t>
      </w:r>
      <w:r w:rsidR="00AE651F" w:rsidRPr="00AE651F">
        <w:rPr>
          <w:rFonts w:ascii="Sylfaen" w:hAnsi="Sylfaen"/>
          <w:color w:val="000000"/>
        </w:rPr>
        <w:t xml:space="preserve">In 1996, J. Tsinaridze, a resident of Chaisubani, discovered a collection of archaeological materials at Lomichamuri, a locality situated between the Mechkheristskali and Dzvitskali rivers on a river terrace approximately 5 - 6 metres high. The finds included flint and obsidian tools, a gold earring, an electrum ring, beads made of gold, glass or glass-like paste, and semi-precious stones, as well as fragments of pottery. These discoveries indicate the archaeological significance of the site and suggest the presence of human activity in the area during antiquity. </w:t>
      </w:r>
    </w:p>
    <w:p w14:paraId="5A0AC086" w14:textId="46ADFBEF" w:rsidR="00AE651F" w:rsidRPr="00AE651F" w:rsidRDefault="00AE651F" w:rsidP="00AE651F">
      <w:pPr>
        <w:pStyle w:val="NormalWeb"/>
        <w:spacing w:before="0" w:beforeAutospacing="0" w:after="0" w:afterAutospacing="0" w:line="360" w:lineRule="auto"/>
        <w:ind w:firstLine="720"/>
        <w:jc w:val="both"/>
        <w:rPr>
          <w:rFonts w:ascii="Sylfaen" w:hAnsi="Sylfaen"/>
          <w:color w:val="000000"/>
        </w:rPr>
      </w:pPr>
      <w:r w:rsidRPr="00AE651F">
        <w:rPr>
          <w:rFonts w:ascii="Sylfaen" w:hAnsi="Sylfaen"/>
          <w:color w:val="000000"/>
        </w:rPr>
        <w:t>The Hellenistic assemblage is composed predominantly of jewellery items</w:t>
      </w:r>
      <w:r w:rsidR="00366D75">
        <w:rPr>
          <w:rFonts w:ascii="Sylfaen" w:hAnsi="Sylfaen"/>
          <w:color w:val="000000"/>
        </w:rPr>
        <w:t xml:space="preserve"> (</w:t>
      </w:r>
      <w:r w:rsidR="00366D75" w:rsidRPr="008D6917">
        <w:rPr>
          <w:rFonts w:ascii="Sylfaen" w:hAnsi="Sylfaen"/>
          <w:color w:val="007BB8"/>
        </w:rPr>
        <w:t>Tab. I</w:t>
      </w:r>
      <w:r w:rsidR="00366D75">
        <w:rPr>
          <w:rFonts w:ascii="Sylfaen" w:hAnsi="Sylfaen"/>
          <w:color w:val="000000"/>
        </w:rPr>
        <w:t>)</w:t>
      </w:r>
      <w:r w:rsidRPr="00AE651F">
        <w:rPr>
          <w:rFonts w:ascii="Sylfaen" w:hAnsi="Sylfaen"/>
          <w:color w:val="000000"/>
        </w:rPr>
        <w:t xml:space="preserve">. Among these, a gold earring is of particular significance. The object consists of a circular open-ended hoop, one half of which is plain, while the other is decorated with a stylized, inverted representation of an animal head, possibly a dragon. The animal’s prominent ears, eyes encircled by short rings, and a fringe-like ornament are rendered in relief (diameter: 1.7 cm). This earring appears to represent a previously unrecorded variant of a hoop earring type that was widespread in Georgia during the 4th–3rd centuries BC. The decorative motif is generally considered to be of Eastern origin and seems to have been present in Georgia since at least the 5th century BC. </w:t>
      </w:r>
    </w:p>
    <w:p w14:paraId="6988AA3F" w14:textId="77777777" w:rsidR="00AE651F" w:rsidRPr="00AE651F" w:rsidRDefault="00AE651F" w:rsidP="00AE651F">
      <w:pPr>
        <w:pStyle w:val="NormalWeb"/>
        <w:spacing w:before="0" w:beforeAutospacing="0" w:after="0" w:afterAutospacing="0" w:line="360" w:lineRule="auto"/>
        <w:ind w:firstLine="720"/>
        <w:jc w:val="both"/>
        <w:rPr>
          <w:rFonts w:ascii="Sylfaen" w:hAnsi="Sylfaen"/>
          <w:color w:val="000000"/>
        </w:rPr>
      </w:pPr>
      <w:r w:rsidRPr="00AE651F">
        <w:rPr>
          <w:rFonts w:ascii="Sylfaen" w:hAnsi="Sylfaen"/>
          <w:color w:val="000000"/>
        </w:rPr>
        <w:lastRenderedPageBreak/>
        <w:t>The electrum ring is a simple open-ended ornament fashioned from a thin, flat strip of metal (diameter: 1.5–1.7 cm; width: 0.3 cm). Its function remains uncertain, although it may have served as an element of costume decoration.</w:t>
      </w:r>
    </w:p>
    <w:p w14:paraId="3AF81D5C" w14:textId="77777777" w:rsidR="007D58BA" w:rsidRPr="0036269B" w:rsidRDefault="00AE651F" w:rsidP="00AE651F">
      <w:pPr>
        <w:pStyle w:val="NormalWeb"/>
        <w:spacing w:before="0" w:beforeAutospacing="0" w:after="0" w:afterAutospacing="0" w:line="360" w:lineRule="auto"/>
        <w:ind w:firstLine="720"/>
        <w:jc w:val="both"/>
        <w:rPr>
          <w:rFonts w:ascii="Sylfaen" w:hAnsi="Sylfaen"/>
          <w:color w:val="000000"/>
        </w:rPr>
      </w:pPr>
      <w:r w:rsidRPr="00AE651F">
        <w:rPr>
          <w:rFonts w:ascii="Sylfaen" w:hAnsi="Sylfaen"/>
          <w:color w:val="000000"/>
        </w:rPr>
        <w:t xml:space="preserve">The largest category within the </w:t>
      </w:r>
      <w:r w:rsidRPr="0039140A">
        <w:rPr>
          <w:rFonts w:ascii="Sylfaen" w:hAnsi="Sylfaen"/>
          <w:color w:val="000000"/>
        </w:rPr>
        <w:t>assemblage</w:t>
      </w:r>
      <w:r w:rsidRPr="00AE651F">
        <w:rPr>
          <w:rFonts w:ascii="Sylfaen" w:hAnsi="Sylfaen"/>
          <w:color w:val="000000"/>
        </w:rPr>
        <w:t xml:space="preserve"> is represented by beads.</w:t>
      </w:r>
    </w:p>
    <w:p w14:paraId="5B8B3088" w14:textId="77777777" w:rsidR="00AE651F" w:rsidRDefault="00AE651F" w:rsidP="0036269B">
      <w:pPr>
        <w:spacing w:after="0" w:line="360" w:lineRule="auto"/>
        <w:ind w:firstLine="720"/>
        <w:jc w:val="both"/>
        <w:rPr>
          <w:rStyle w:val="Strong"/>
          <w:rFonts w:ascii="Sylfaen" w:hAnsi="Sylfaen"/>
          <w:color w:val="000000"/>
          <w:sz w:val="24"/>
          <w:szCs w:val="24"/>
          <w:lang w:val="en-GB"/>
        </w:rPr>
      </w:pPr>
    </w:p>
    <w:p w14:paraId="05D1B0A5" w14:textId="1BB7456A" w:rsidR="008A105A" w:rsidRPr="0036269B" w:rsidRDefault="008A105A" w:rsidP="0036269B">
      <w:pPr>
        <w:spacing w:after="0" w:line="360" w:lineRule="auto"/>
        <w:ind w:firstLine="720"/>
        <w:jc w:val="both"/>
        <w:rPr>
          <w:rFonts w:ascii="Sylfaen" w:hAnsi="Sylfaen"/>
          <w:color w:val="000000"/>
          <w:sz w:val="24"/>
          <w:szCs w:val="24"/>
          <w:lang w:val="en-GB"/>
        </w:rPr>
      </w:pPr>
      <w:r w:rsidRPr="0036269B">
        <w:rPr>
          <w:rStyle w:val="Strong"/>
          <w:rFonts w:ascii="Sylfaen" w:hAnsi="Sylfaen"/>
          <w:color w:val="000000"/>
          <w:sz w:val="24"/>
          <w:szCs w:val="24"/>
          <w:lang w:val="en-GB"/>
        </w:rPr>
        <w:t>Passport compiled by:</w:t>
      </w:r>
      <w:r w:rsidRPr="0036269B">
        <w:rPr>
          <w:rStyle w:val="apple-converted-space"/>
          <w:rFonts w:ascii="Sylfaen" w:hAnsi="Sylfaen"/>
          <w:color w:val="000000"/>
          <w:sz w:val="24"/>
          <w:szCs w:val="24"/>
          <w:lang w:val="en-GB"/>
        </w:rPr>
        <w:t> </w:t>
      </w:r>
      <w:r w:rsidR="0036269B" w:rsidRPr="0036269B">
        <w:rPr>
          <w:rStyle w:val="apple-converted-space"/>
          <w:rFonts w:ascii="Sylfaen" w:hAnsi="Sylfaen"/>
          <w:color w:val="000000"/>
          <w:sz w:val="24"/>
          <w:szCs w:val="24"/>
          <w:lang w:val="en-GB"/>
        </w:rPr>
        <w:t>Nino Dzneladze, Academic Doctor of History, LEPL Ajara Museum - Amiran Kakhidze Ajara Archaeological Museum, Senior Researcher</w:t>
      </w:r>
    </w:p>
    <w:p w14:paraId="5872583F" w14:textId="77777777" w:rsidR="00AE651F" w:rsidRDefault="00AE651F" w:rsidP="0036269B">
      <w:pPr>
        <w:spacing w:after="0" w:line="360" w:lineRule="auto"/>
        <w:ind w:firstLine="720"/>
        <w:jc w:val="both"/>
        <w:rPr>
          <w:rFonts w:ascii="Sylfaen" w:hAnsi="Sylfaen"/>
          <w:b/>
          <w:bCs/>
          <w:color w:val="000000"/>
          <w:sz w:val="24"/>
          <w:szCs w:val="24"/>
          <w:lang w:val="en-GB"/>
        </w:rPr>
      </w:pPr>
    </w:p>
    <w:p w14:paraId="35B04C78" w14:textId="7E23690D" w:rsidR="008A105A" w:rsidRPr="0036269B" w:rsidRDefault="008A105A" w:rsidP="0036269B">
      <w:pPr>
        <w:spacing w:after="0" w:line="360" w:lineRule="auto"/>
        <w:ind w:firstLine="720"/>
        <w:jc w:val="both"/>
        <w:rPr>
          <w:rFonts w:ascii="Sylfaen" w:hAnsi="Sylfaen"/>
          <w:color w:val="000000"/>
          <w:sz w:val="24"/>
          <w:szCs w:val="24"/>
          <w:lang w:val="en-GB"/>
        </w:rPr>
      </w:pPr>
      <w:r w:rsidRPr="0036269B">
        <w:rPr>
          <w:rFonts w:ascii="Sylfaen" w:hAnsi="Sylfaen"/>
          <w:b/>
          <w:bCs/>
          <w:color w:val="000000"/>
          <w:sz w:val="24"/>
          <w:szCs w:val="24"/>
          <w:lang w:val="en-GB"/>
        </w:rPr>
        <w:t>Bibliography</w:t>
      </w:r>
      <w:r w:rsidRPr="0036269B">
        <w:rPr>
          <w:rFonts w:ascii="Sylfaen" w:hAnsi="Sylfaen"/>
          <w:color w:val="000000"/>
          <w:sz w:val="24"/>
          <w:szCs w:val="24"/>
          <w:lang w:val="en-GB"/>
        </w:rPr>
        <w:t>:</w:t>
      </w:r>
      <w:r w:rsidR="0036269B" w:rsidRPr="0036269B">
        <w:rPr>
          <w:rFonts w:ascii="Sylfaen" w:hAnsi="Sylfaen"/>
          <w:color w:val="000000"/>
          <w:sz w:val="24"/>
          <w:szCs w:val="24"/>
          <w:lang w:val="en-GB"/>
        </w:rPr>
        <w:t xml:space="preserve"> </w:t>
      </w:r>
      <w:r w:rsidR="005D3901" w:rsidRPr="005D3901">
        <w:rPr>
          <w:rFonts w:ascii="Sylfaen" w:hAnsi="Sylfaen"/>
          <w:color w:val="000000"/>
          <w:sz w:val="24"/>
          <w:szCs w:val="24"/>
          <w:lang w:val="en-GB"/>
        </w:rPr>
        <w:t>Surmanidze N. (2002), New Archaeological Discoveries in the Chakvis</w:t>
      </w:r>
      <w:r w:rsidR="00AE651F">
        <w:rPr>
          <w:rFonts w:ascii="Sylfaen" w:hAnsi="Sylfaen"/>
          <w:color w:val="000000"/>
          <w:sz w:val="24"/>
          <w:szCs w:val="24"/>
          <w:lang w:val="en-GB"/>
        </w:rPr>
        <w:t>ts</w:t>
      </w:r>
      <w:r w:rsidR="005D3901" w:rsidRPr="005D3901">
        <w:rPr>
          <w:rFonts w:ascii="Sylfaen" w:hAnsi="Sylfaen"/>
          <w:color w:val="000000"/>
          <w:sz w:val="24"/>
          <w:szCs w:val="24"/>
          <w:lang w:val="en-GB"/>
        </w:rPr>
        <w:t>kali</w:t>
      </w:r>
      <w:r w:rsidR="0039140A">
        <w:rPr>
          <w:rFonts w:ascii="Sylfaen" w:hAnsi="Sylfaen"/>
          <w:color w:val="000000"/>
          <w:sz w:val="24"/>
          <w:szCs w:val="24"/>
          <w:lang w:val="en-GB"/>
        </w:rPr>
        <w:t xml:space="preserve"> </w:t>
      </w:r>
      <w:r w:rsidR="0039140A">
        <w:rPr>
          <w:rFonts w:ascii="Sylfaen" w:hAnsi="Sylfaen"/>
          <w:color w:val="000000"/>
          <w:sz w:val="24"/>
          <w:szCs w:val="24"/>
          <w:lang w:val="en-US"/>
        </w:rPr>
        <w:t>Gorge</w:t>
      </w:r>
      <w:r w:rsidR="005D3901" w:rsidRPr="005D3901">
        <w:rPr>
          <w:rFonts w:ascii="Sylfaen" w:hAnsi="Sylfaen"/>
          <w:color w:val="000000"/>
          <w:sz w:val="24"/>
          <w:szCs w:val="24"/>
          <w:lang w:val="en-GB"/>
        </w:rPr>
        <w:t>, Proceedings of the Batumi Archaeological Museum, II, p. 82–88</w:t>
      </w:r>
    </w:p>
    <w:p w14:paraId="47725A6E" w14:textId="77777777" w:rsidR="004669B2" w:rsidRPr="0036269B" w:rsidRDefault="004669B2" w:rsidP="0036269B">
      <w:pPr>
        <w:spacing w:after="0" w:line="360" w:lineRule="auto"/>
        <w:ind w:firstLine="720"/>
        <w:jc w:val="both"/>
        <w:rPr>
          <w:rFonts w:ascii="Sylfaen" w:hAnsi="Sylfaen"/>
          <w:color w:val="000000"/>
          <w:sz w:val="24"/>
          <w:szCs w:val="24"/>
          <w:lang w:val="en-GB"/>
        </w:rPr>
      </w:pPr>
    </w:p>
    <w:p w14:paraId="090408B4" w14:textId="77777777" w:rsidR="004669B2" w:rsidRPr="0036269B" w:rsidRDefault="004669B2" w:rsidP="0036269B">
      <w:pPr>
        <w:spacing w:after="0" w:line="360" w:lineRule="auto"/>
        <w:ind w:firstLine="720"/>
        <w:jc w:val="both"/>
        <w:rPr>
          <w:rFonts w:ascii="Sylfaen" w:hAnsi="Sylfaen"/>
          <w:sz w:val="24"/>
          <w:szCs w:val="24"/>
          <w:lang w:val="en-GB"/>
        </w:rPr>
      </w:pPr>
    </w:p>
    <w:p w14:paraId="7ACE9397" w14:textId="77777777" w:rsidR="004669B2" w:rsidRPr="0036269B" w:rsidRDefault="004669B2" w:rsidP="0036269B">
      <w:pPr>
        <w:spacing w:after="0" w:line="360" w:lineRule="auto"/>
        <w:ind w:firstLine="720"/>
        <w:jc w:val="both"/>
        <w:rPr>
          <w:rFonts w:ascii="Sylfaen" w:hAnsi="Sylfaen"/>
          <w:sz w:val="24"/>
          <w:szCs w:val="24"/>
          <w:lang w:val="en-GB"/>
        </w:rPr>
      </w:pPr>
    </w:p>
    <w:sectPr w:rsidR="004669B2" w:rsidRPr="0036269B" w:rsidSect="009D2F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42F"/>
    <w:rsid w:val="00063434"/>
    <w:rsid w:val="0036269B"/>
    <w:rsid w:val="00366D75"/>
    <w:rsid w:val="0039140A"/>
    <w:rsid w:val="003D2C7F"/>
    <w:rsid w:val="004669B2"/>
    <w:rsid w:val="00513A78"/>
    <w:rsid w:val="005D3901"/>
    <w:rsid w:val="0069342F"/>
    <w:rsid w:val="007D58BA"/>
    <w:rsid w:val="00817C7F"/>
    <w:rsid w:val="008826AF"/>
    <w:rsid w:val="008A105A"/>
    <w:rsid w:val="008D6917"/>
    <w:rsid w:val="009925B8"/>
    <w:rsid w:val="009D2FA5"/>
    <w:rsid w:val="00A73EA0"/>
    <w:rsid w:val="00AE651F"/>
    <w:rsid w:val="00B90953"/>
    <w:rsid w:val="00DA49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9468E"/>
  <w15:chartTrackingRefBased/>
  <w15:docId w15:val="{C4142CAE-CEFE-D74B-BF07-8DD86F454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342F"/>
    <w:pPr>
      <w:spacing w:after="200" w:line="276" w:lineRule="auto"/>
    </w:pPr>
    <w:rPr>
      <w:kern w:val="0"/>
      <w:sz w:val="22"/>
      <w:szCs w:val="22"/>
      <w:lang w:val="ru-RU"/>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669B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4669B2"/>
    <w:rPr>
      <w:b/>
      <w:bCs/>
    </w:rPr>
  </w:style>
  <w:style w:type="character" w:customStyle="1" w:styleId="apple-converted-space">
    <w:name w:val="apple-converted-space"/>
    <w:basedOn w:val="DefaultParagraphFont"/>
    <w:rsid w:val="004669B2"/>
  </w:style>
  <w:style w:type="paragraph" w:styleId="ListParagraph">
    <w:name w:val="List Paragraph"/>
    <w:basedOn w:val="Normal"/>
    <w:uiPriority w:val="34"/>
    <w:qFormat/>
    <w:rsid w:val="004669B2"/>
    <w:pPr>
      <w:ind w:left="720"/>
      <w:contextualSpacing/>
    </w:pPr>
  </w:style>
  <w:style w:type="character" w:styleId="Hyperlink">
    <w:name w:val="Hyperlink"/>
    <w:basedOn w:val="DefaultParagraphFont"/>
    <w:uiPriority w:val="99"/>
    <w:unhideWhenUsed/>
    <w:rsid w:val="008A105A"/>
    <w:rPr>
      <w:color w:val="0563C1" w:themeColor="hyperlink"/>
      <w:u w:val="single"/>
    </w:rPr>
  </w:style>
  <w:style w:type="character" w:styleId="UnresolvedMention">
    <w:name w:val="Unresolved Mention"/>
    <w:basedOn w:val="DefaultParagraphFont"/>
    <w:uiPriority w:val="99"/>
    <w:semiHidden/>
    <w:unhideWhenUsed/>
    <w:rsid w:val="008A10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51990">
      <w:bodyDiv w:val="1"/>
      <w:marLeft w:val="0"/>
      <w:marRight w:val="0"/>
      <w:marTop w:val="0"/>
      <w:marBottom w:val="0"/>
      <w:divBdr>
        <w:top w:val="none" w:sz="0" w:space="0" w:color="auto"/>
        <w:left w:val="none" w:sz="0" w:space="0" w:color="auto"/>
        <w:bottom w:val="none" w:sz="0" w:space="0" w:color="auto"/>
        <w:right w:val="none" w:sz="0" w:space="0" w:color="auto"/>
      </w:divBdr>
    </w:div>
    <w:div w:id="182018563">
      <w:bodyDiv w:val="1"/>
      <w:marLeft w:val="0"/>
      <w:marRight w:val="0"/>
      <w:marTop w:val="0"/>
      <w:marBottom w:val="0"/>
      <w:divBdr>
        <w:top w:val="none" w:sz="0" w:space="0" w:color="auto"/>
        <w:left w:val="none" w:sz="0" w:space="0" w:color="auto"/>
        <w:bottom w:val="none" w:sz="0" w:space="0" w:color="auto"/>
        <w:right w:val="none" w:sz="0" w:space="0" w:color="auto"/>
      </w:divBdr>
    </w:div>
    <w:div w:id="206797333">
      <w:bodyDiv w:val="1"/>
      <w:marLeft w:val="0"/>
      <w:marRight w:val="0"/>
      <w:marTop w:val="0"/>
      <w:marBottom w:val="0"/>
      <w:divBdr>
        <w:top w:val="none" w:sz="0" w:space="0" w:color="auto"/>
        <w:left w:val="none" w:sz="0" w:space="0" w:color="auto"/>
        <w:bottom w:val="none" w:sz="0" w:space="0" w:color="auto"/>
        <w:right w:val="none" w:sz="0" w:space="0" w:color="auto"/>
      </w:divBdr>
    </w:div>
    <w:div w:id="423914501">
      <w:bodyDiv w:val="1"/>
      <w:marLeft w:val="0"/>
      <w:marRight w:val="0"/>
      <w:marTop w:val="0"/>
      <w:marBottom w:val="0"/>
      <w:divBdr>
        <w:top w:val="none" w:sz="0" w:space="0" w:color="auto"/>
        <w:left w:val="none" w:sz="0" w:space="0" w:color="auto"/>
        <w:bottom w:val="none" w:sz="0" w:space="0" w:color="auto"/>
        <w:right w:val="none" w:sz="0" w:space="0" w:color="auto"/>
      </w:divBdr>
    </w:div>
    <w:div w:id="564949806">
      <w:bodyDiv w:val="1"/>
      <w:marLeft w:val="0"/>
      <w:marRight w:val="0"/>
      <w:marTop w:val="0"/>
      <w:marBottom w:val="0"/>
      <w:divBdr>
        <w:top w:val="none" w:sz="0" w:space="0" w:color="auto"/>
        <w:left w:val="none" w:sz="0" w:space="0" w:color="auto"/>
        <w:bottom w:val="none" w:sz="0" w:space="0" w:color="auto"/>
        <w:right w:val="none" w:sz="0" w:space="0" w:color="auto"/>
      </w:divBdr>
    </w:div>
    <w:div w:id="1108350253">
      <w:bodyDiv w:val="1"/>
      <w:marLeft w:val="0"/>
      <w:marRight w:val="0"/>
      <w:marTop w:val="0"/>
      <w:marBottom w:val="0"/>
      <w:divBdr>
        <w:top w:val="none" w:sz="0" w:space="0" w:color="auto"/>
        <w:left w:val="none" w:sz="0" w:space="0" w:color="auto"/>
        <w:bottom w:val="none" w:sz="0" w:space="0" w:color="auto"/>
        <w:right w:val="none" w:sz="0" w:space="0" w:color="auto"/>
      </w:divBdr>
    </w:div>
    <w:div w:id="1158617435">
      <w:bodyDiv w:val="1"/>
      <w:marLeft w:val="0"/>
      <w:marRight w:val="0"/>
      <w:marTop w:val="0"/>
      <w:marBottom w:val="0"/>
      <w:divBdr>
        <w:top w:val="none" w:sz="0" w:space="0" w:color="auto"/>
        <w:left w:val="none" w:sz="0" w:space="0" w:color="auto"/>
        <w:bottom w:val="none" w:sz="0" w:space="0" w:color="auto"/>
        <w:right w:val="none" w:sz="0" w:space="0" w:color="auto"/>
      </w:divBdr>
    </w:div>
    <w:div w:id="1612054772">
      <w:bodyDiv w:val="1"/>
      <w:marLeft w:val="0"/>
      <w:marRight w:val="0"/>
      <w:marTop w:val="0"/>
      <w:marBottom w:val="0"/>
      <w:divBdr>
        <w:top w:val="none" w:sz="0" w:space="0" w:color="auto"/>
        <w:left w:val="none" w:sz="0" w:space="0" w:color="auto"/>
        <w:bottom w:val="none" w:sz="0" w:space="0" w:color="auto"/>
        <w:right w:val="none" w:sz="0" w:space="0" w:color="auto"/>
      </w:divBdr>
    </w:div>
    <w:div w:id="1617567912">
      <w:bodyDiv w:val="1"/>
      <w:marLeft w:val="0"/>
      <w:marRight w:val="0"/>
      <w:marTop w:val="0"/>
      <w:marBottom w:val="0"/>
      <w:divBdr>
        <w:top w:val="none" w:sz="0" w:space="0" w:color="auto"/>
        <w:left w:val="none" w:sz="0" w:space="0" w:color="auto"/>
        <w:bottom w:val="none" w:sz="0" w:space="0" w:color="auto"/>
        <w:right w:val="none" w:sz="0" w:space="0" w:color="auto"/>
      </w:divBdr>
    </w:div>
    <w:div w:id="1703479504">
      <w:bodyDiv w:val="1"/>
      <w:marLeft w:val="0"/>
      <w:marRight w:val="0"/>
      <w:marTop w:val="0"/>
      <w:marBottom w:val="0"/>
      <w:divBdr>
        <w:top w:val="none" w:sz="0" w:space="0" w:color="auto"/>
        <w:left w:val="none" w:sz="0" w:space="0" w:color="auto"/>
        <w:bottom w:val="none" w:sz="0" w:space="0" w:color="auto"/>
        <w:right w:val="none" w:sz="0" w:space="0" w:color="auto"/>
      </w:divBdr>
    </w:div>
    <w:div w:id="1934901035">
      <w:bodyDiv w:val="1"/>
      <w:marLeft w:val="0"/>
      <w:marRight w:val="0"/>
      <w:marTop w:val="0"/>
      <w:marBottom w:val="0"/>
      <w:divBdr>
        <w:top w:val="none" w:sz="0" w:space="0" w:color="auto"/>
        <w:left w:val="none" w:sz="0" w:space="0" w:color="auto"/>
        <w:bottom w:val="none" w:sz="0" w:space="0" w:color="auto"/>
        <w:right w:val="none" w:sz="0" w:space="0" w:color="auto"/>
      </w:divBdr>
    </w:div>
    <w:div w:id="2104570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2</Pages>
  <Words>370</Words>
  <Characters>2111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Microsoft Office</dc:creator>
  <cp:keywords/>
  <dc:description/>
  <cp:lastModifiedBy>Windows</cp:lastModifiedBy>
  <cp:revision>7</cp:revision>
  <dcterms:created xsi:type="dcterms:W3CDTF">2026-06-16T12:51:00Z</dcterms:created>
  <dcterms:modified xsi:type="dcterms:W3CDTF">2026-06-30T13:21:00Z</dcterms:modified>
</cp:coreProperties>
</file>