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7D5E" w14:textId="53E4AAD0" w:rsidR="00F309B7" w:rsidRPr="00DE0243" w:rsidRDefault="00F309B7" w:rsidP="009A663E">
      <w:pPr>
        <w:jc w:val="center"/>
        <w:rPr>
          <w:rFonts w:ascii="Sylfaen" w:hAnsi="Sylfaen"/>
          <w:b/>
          <w:bCs/>
          <w:sz w:val="24"/>
          <w:szCs w:val="24"/>
          <w:lang w:val="en-GB"/>
        </w:rPr>
      </w:pPr>
      <w:r w:rsidRPr="00DE0243">
        <w:rPr>
          <w:rFonts w:ascii="Sylfaen" w:hAnsi="Sylfaen"/>
          <w:b/>
          <w:bCs/>
          <w:sz w:val="24"/>
          <w:szCs w:val="24"/>
          <w:lang w:val="en-GB"/>
        </w:rPr>
        <w:t>Passport of Archaeological Monument</w:t>
      </w:r>
    </w:p>
    <w:p w14:paraId="41B84E20" w14:textId="5C0615D7" w:rsidR="00F309B7" w:rsidRPr="00DE0243" w:rsidRDefault="00F309B7" w:rsidP="009A663E">
      <w:pPr>
        <w:tabs>
          <w:tab w:val="left" w:pos="360"/>
        </w:tabs>
        <w:spacing w:after="0" w:line="360" w:lineRule="auto"/>
        <w:jc w:val="both"/>
        <w:rPr>
          <w:rFonts w:ascii="Sylfaen" w:hAnsi="Sylfaen"/>
          <w:sz w:val="24"/>
          <w:szCs w:val="24"/>
          <w:lang w:val="en-GB"/>
        </w:rPr>
      </w:pPr>
      <w:r w:rsidRPr="00DE0243">
        <w:rPr>
          <w:rFonts w:ascii="Sylfaen" w:hAnsi="Sylfaen"/>
          <w:b/>
          <w:bCs/>
          <w:sz w:val="24"/>
          <w:szCs w:val="24"/>
          <w:lang w:val="en-GB"/>
        </w:rPr>
        <w:t>Name of archaeological site</w:t>
      </w:r>
      <w:r w:rsidRPr="00DE0243">
        <w:rPr>
          <w:rFonts w:ascii="Sylfaen" w:hAnsi="Sylfaen"/>
          <w:sz w:val="24"/>
          <w:szCs w:val="24"/>
          <w:lang w:val="en-GB"/>
        </w:rPr>
        <w:t>: Khikhani medieval fortification</w:t>
      </w:r>
    </w:p>
    <w:p w14:paraId="5699E655" w14:textId="24CFAE5B" w:rsidR="00F309B7" w:rsidRPr="00DE0243" w:rsidRDefault="00F309B7" w:rsidP="009A663E">
      <w:pPr>
        <w:tabs>
          <w:tab w:val="left" w:pos="360"/>
        </w:tabs>
        <w:spacing w:after="0" w:line="360" w:lineRule="auto"/>
        <w:jc w:val="both"/>
        <w:rPr>
          <w:rFonts w:ascii="Sylfaen" w:hAnsi="Sylfaen"/>
          <w:sz w:val="24"/>
          <w:szCs w:val="24"/>
          <w:lang w:val="en-GB"/>
        </w:rPr>
      </w:pPr>
      <w:r w:rsidRPr="00DE0243">
        <w:rPr>
          <w:rFonts w:ascii="Sylfaen" w:hAnsi="Sylfaen"/>
          <w:b/>
          <w:bCs/>
          <w:sz w:val="24"/>
          <w:szCs w:val="24"/>
          <w:lang w:val="en-GB"/>
        </w:rPr>
        <w:t>Type of archaeological site:</w:t>
      </w:r>
      <w:r w:rsidRPr="00DE0243">
        <w:rPr>
          <w:rFonts w:ascii="Sylfaen" w:hAnsi="Sylfaen"/>
          <w:sz w:val="24"/>
          <w:szCs w:val="24"/>
          <w:lang w:val="en-GB"/>
        </w:rPr>
        <w:t xml:space="preserve"> Fortress</w:t>
      </w:r>
    </w:p>
    <w:p w14:paraId="69263A5F" w14:textId="769CDDA5" w:rsidR="00F309B7" w:rsidRPr="00DE0243" w:rsidRDefault="00F309B7" w:rsidP="009A663E">
      <w:pPr>
        <w:tabs>
          <w:tab w:val="left" w:pos="360"/>
        </w:tabs>
        <w:spacing w:after="0" w:line="360" w:lineRule="auto"/>
        <w:jc w:val="both"/>
        <w:rPr>
          <w:rFonts w:ascii="Sylfaen" w:hAnsi="Sylfaen"/>
          <w:sz w:val="24"/>
          <w:szCs w:val="24"/>
          <w:lang w:val="en-GB"/>
        </w:rPr>
      </w:pPr>
      <w:r w:rsidRPr="00DE0243">
        <w:rPr>
          <w:rFonts w:ascii="Sylfaen" w:hAnsi="Sylfaen"/>
          <w:b/>
          <w:bCs/>
          <w:sz w:val="24"/>
          <w:szCs w:val="24"/>
          <w:lang w:val="en-GB"/>
        </w:rPr>
        <w:t>Chronological attribution (historical era, exact date)</w:t>
      </w:r>
      <w:r w:rsidRPr="00DE0243">
        <w:rPr>
          <w:rFonts w:ascii="Sylfaen" w:hAnsi="Sylfaen"/>
          <w:sz w:val="24"/>
          <w:szCs w:val="24"/>
          <w:lang w:val="en-GB"/>
        </w:rPr>
        <w:t xml:space="preserve"> – AD 11th-13th centuries.</w:t>
      </w:r>
    </w:p>
    <w:p w14:paraId="7A9A3323" w14:textId="0D41C9AB" w:rsidR="00F309B7" w:rsidRPr="00DE0243" w:rsidRDefault="00F309B7" w:rsidP="009A663E">
      <w:pPr>
        <w:tabs>
          <w:tab w:val="left" w:pos="360"/>
        </w:tabs>
        <w:spacing w:after="0" w:line="360" w:lineRule="auto"/>
        <w:jc w:val="both"/>
        <w:rPr>
          <w:rFonts w:ascii="Sylfaen" w:hAnsi="Sylfaen"/>
          <w:sz w:val="24"/>
          <w:szCs w:val="24"/>
          <w:lang w:val="en-GB"/>
        </w:rPr>
      </w:pPr>
      <w:r w:rsidRPr="00DE0243">
        <w:rPr>
          <w:rFonts w:ascii="Sylfaen" w:hAnsi="Sylfaen"/>
          <w:b/>
          <w:bCs/>
          <w:sz w:val="24"/>
          <w:szCs w:val="24"/>
          <w:lang w:val="en-GB"/>
        </w:rPr>
        <w:t>Address (municipality, city, village, valley)</w:t>
      </w:r>
      <w:r w:rsidRPr="00DE0243">
        <w:rPr>
          <w:rFonts w:ascii="Sylfaen" w:hAnsi="Sylfaen"/>
          <w:sz w:val="24"/>
          <w:szCs w:val="24"/>
          <w:lang w:val="en-GB"/>
        </w:rPr>
        <w:t xml:space="preserve"> – Khulo Municipality, </w:t>
      </w:r>
      <w:proofErr w:type="spellStart"/>
      <w:r w:rsidRPr="00DE0243">
        <w:rPr>
          <w:rFonts w:ascii="Sylfaen" w:hAnsi="Sylfaen"/>
          <w:sz w:val="24"/>
          <w:szCs w:val="24"/>
          <w:lang w:val="en-GB"/>
        </w:rPr>
        <w:t>Arsiani</w:t>
      </w:r>
      <w:proofErr w:type="spellEnd"/>
      <w:r w:rsidRPr="00DE0243">
        <w:rPr>
          <w:rFonts w:ascii="Sylfaen" w:hAnsi="Sylfaen"/>
          <w:sz w:val="24"/>
          <w:szCs w:val="24"/>
          <w:lang w:val="en-GB"/>
        </w:rPr>
        <w:t xml:space="preserve"> Ridge, </w:t>
      </w:r>
      <w:proofErr w:type="spellStart"/>
      <w:r w:rsidRPr="00DE0243">
        <w:rPr>
          <w:rFonts w:ascii="Sylfaen" w:hAnsi="Sylfaen"/>
          <w:sz w:val="24"/>
          <w:szCs w:val="24"/>
          <w:lang w:val="en-GB"/>
        </w:rPr>
        <w:t>Skhaltistskali</w:t>
      </w:r>
      <w:proofErr w:type="spellEnd"/>
      <w:r w:rsidRPr="00DE0243">
        <w:rPr>
          <w:rFonts w:ascii="Sylfaen" w:hAnsi="Sylfaen"/>
          <w:sz w:val="24"/>
          <w:szCs w:val="24"/>
          <w:lang w:val="en-GB"/>
        </w:rPr>
        <w:t xml:space="preserve"> Gorge, GPS coordinates: X 0296895; Y 4601756</w:t>
      </w:r>
    </w:p>
    <w:p w14:paraId="08A8C3BF" w14:textId="77777777" w:rsidR="00F309B7" w:rsidRPr="00DE0243" w:rsidRDefault="00F309B7" w:rsidP="009A663E">
      <w:pPr>
        <w:spacing w:after="0" w:line="360" w:lineRule="auto"/>
        <w:ind w:firstLine="720"/>
        <w:jc w:val="both"/>
        <w:rPr>
          <w:rFonts w:ascii="Sylfaen" w:hAnsi="Sylfaen"/>
          <w:b/>
          <w:bCs/>
          <w:sz w:val="24"/>
          <w:szCs w:val="24"/>
          <w:lang w:val="en-GB"/>
        </w:rPr>
      </w:pPr>
      <w:r w:rsidRPr="00DE0243">
        <w:rPr>
          <w:rFonts w:ascii="Sylfaen" w:hAnsi="Sylfaen"/>
          <w:b/>
          <w:bCs/>
          <w:sz w:val="24"/>
          <w:szCs w:val="24"/>
          <w:lang w:val="en-GB"/>
        </w:rPr>
        <w:t>History of study/research (circumstances of discovery, studies conducted on the monument, researchers working on the monument, bibliography):</w:t>
      </w:r>
    </w:p>
    <w:p w14:paraId="223ACAC0" w14:textId="21D8B0E4" w:rsidR="00F309B7" w:rsidRPr="00DE0243" w:rsidRDefault="00F309B7" w:rsidP="009A663E">
      <w:pPr>
        <w:spacing w:after="0" w:line="360" w:lineRule="auto"/>
        <w:ind w:firstLine="720"/>
        <w:contextualSpacing/>
        <w:jc w:val="both"/>
        <w:rPr>
          <w:rFonts w:ascii="Sylfaen" w:hAnsi="Sylfaen"/>
          <w:color w:val="000000"/>
          <w:sz w:val="24"/>
          <w:szCs w:val="24"/>
          <w:lang w:val="en-GB"/>
        </w:rPr>
      </w:pPr>
      <w:r w:rsidRPr="00DE0243">
        <w:rPr>
          <w:rFonts w:ascii="Sylfaen" w:hAnsi="Sylfaen"/>
          <w:b/>
          <w:bCs/>
          <w:sz w:val="24"/>
          <w:szCs w:val="24"/>
          <w:lang w:val="en-GB"/>
        </w:rPr>
        <w:t xml:space="preserve">Study/research history: </w:t>
      </w:r>
      <w:r w:rsidRPr="00DE0243">
        <w:rPr>
          <w:rFonts w:ascii="Sylfaen" w:hAnsi="Sylfaen"/>
          <w:color w:val="000000"/>
          <w:sz w:val="24"/>
          <w:szCs w:val="24"/>
          <w:lang w:val="en-GB"/>
        </w:rPr>
        <w:t>Due to its strategic location and historical significance, Khikhani Fortress has attracted scholarly attention since the nineteenth century (Fig. 1</w:t>
      </w:r>
      <w:r w:rsidRPr="00DE0243">
        <w:rPr>
          <w:rFonts w:ascii="Sylfaen" w:hAnsi="Sylfaen"/>
          <w:color w:val="000000"/>
          <w:lang w:val="en-GB"/>
        </w:rPr>
        <w:t>-</w:t>
      </w:r>
      <w:r w:rsidRPr="00DE0243">
        <w:rPr>
          <w:rFonts w:ascii="Sylfaen" w:hAnsi="Sylfaen"/>
          <w:color w:val="000000"/>
          <w:sz w:val="24"/>
          <w:szCs w:val="24"/>
          <w:lang w:val="en-GB"/>
        </w:rPr>
        <w:t>4). The earliest known description of the fortress belongs to Giorgi Kazbegi, who provided a brief yet valuable account of the site. He noted the difficult access route leading to the fortress and described its principal architectural features, including four towers, five buildings, and a stone-built water reservoir located within the fortified area. Kazbegi also recorded a local tradition attributing the construction of the fortress to Queen Tamar.</w:t>
      </w:r>
      <w:r w:rsidRPr="00DE0243">
        <w:rPr>
          <w:rFonts w:ascii="Sylfaen" w:hAnsi="Sylfaen"/>
          <w:color w:val="000000"/>
          <w:lang w:val="en-GB"/>
        </w:rPr>
        <w:t xml:space="preserve"> </w:t>
      </w:r>
      <w:r w:rsidRPr="00DE0243">
        <w:rPr>
          <w:rFonts w:ascii="Sylfaen" w:hAnsi="Sylfaen"/>
          <w:color w:val="000000"/>
          <w:sz w:val="24"/>
          <w:szCs w:val="24"/>
          <w:lang w:val="en-GB"/>
        </w:rPr>
        <w:t>In 1894, the fortress was visited by the prominent researcher of Caucasian antiquities, Praskovia Uvarova. Similar to Kazbegi, Uvarova referred to the local tradition connecting the fortress with Queen Tamar and emphasized its significance within the historical landscape of the region.</w:t>
      </w:r>
      <w:r w:rsidRPr="00DE0243">
        <w:rPr>
          <w:rFonts w:ascii="Sylfaen" w:hAnsi="Sylfaen"/>
          <w:color w:val="000000"/>
          <w:lang w:val="en-GB"/>
        </w:rPr>
        <w:t xml:space="preserve"> </w:t>
      </w:r>
      <w:r w:rsidRPr="00DE0243">
        <w:rPr>
          <w:rFonts w:ascii="Sylfaen" w:hAnsi="Sylfaen"/>
          <w:color w:val="000000"/>
          <w:sz w:val="24"/>
          <w:szCs w:val="24"/>
          <w:lang w:val="en-GB"/>
        </w:rPr>
        <w:t xml:space="preserve">Additional information was provided by </w:t>
      </w:r>
      <w:proofErr w:type="spellStart"/>
      <w:r w:rsidRPr="00DE0243">
        <w:rPr>
          <w:rFonts w:ascii="Sylfaen" w:hAnsi="Sylfaen"/>
          <w:color w:val="000000"/>
          <w:sz w:val="24"/>
          <w:szCs w:val="24"/>
          <w:lang w:val="en-GB"/>
        </w:rPr>
        <w:t>Tedo</w:t>
      </w:r>
      <w:proofErr w:type="spellEnd"/>
      <w:r w:rsidRPr="00DE0243">
        <w:rPr>
          <w:rFonts w:ascii="Sylfaen" w:hAnsi="Sylfaen"/>
          <w:color w:val="000000"/>
          <w:sz w:val="24"/>
          <w:szCs w:val="24"/>
          <w:lang w:val="en-GB"/>
        </w:rPr>
        <w:t xml:space="preserve"> Sakhokia, who visited the site in 1896. </w:t>
      </w:r>
      <w:proofErr w:type="spellStart"/>
      <w:r w:rsidRPr="00DE0243">
        <w:rPr>
          <w:rFonts w:ascii="Sylfaen" w:hAnsi="Sylfaen"/>
          <w:color w:val="000000"/>
          <w:sz w:val="24"/>
          <w:szCs w:val="24"/>
          <w:lang w:val="en-GB"/>
        </w:rPr>
        <w:t>Sakhokia</w:t>
      </w:r>
      <w:proofErr w:type="spellEnd"/>
      <w:r w:rsidRPr="00DE0243">
        <w:rPr>
          <w:rFonts w:ascii="Sylfaen" w:hAnsi="Sylfaen"/>
          <w:color w:val="000000"/>
          <w:sz w:val="24"/>
          <w:szCs w:val="24"/>
          <w:lang w:val="en-GB"/>
        </w:rPr>
        <w:t xml:space="preserve"> offered a detailed description of the fortress’s location, highlighting its isolated position atop a steep rocky outcrop. He noted the existence of ditches that facilitated access to the fortress and described the surrounding limestone fortification wall, parts of which had collapsed on the northern side due to erosion. He also mentioned openings in the defensive walls, five towers, and a partially ruined church located within the fortress complex. Like Kazbegi, </w:t>
      </w:r>
      <w:proofErr w:type="spellStart"/>
      <w:r w:rsidRPr="00DE0243">
        <w:rPr>
          <w:rFonts w:ascii="Sylfaen" w:hAnsi="Sylfaen"/>
          <w:color w:val="000000"/>
          <w:sz w:val="24"/>
          <w:szCs w:val="24"/>
          <w:lang w:val="en-GB"/>
        </w:rPr>
        <w:t>Sakhokia</w:t>
      </w:r>
      <w:proofErr w:type="spellEnd"/>
      <w:r w:rsidRPr="00DE0243">
        <w:rPr>
          <w:rFonts w:ascii="Sylfaen" w:hAnsi="Sylfaen"/>
          <w:color w:val="000000"/>
          <w:sz w:val="24"/>
          <w:szCs w:val="24"/>
          <w:lang w:val="en-GB"/>
        </w:rPr>
        <w:t xml:space="preserve"> recorded the widespread local belief that the fortress had been built during the reign of Queen Tamar. Furthermore, he referred to historical events associated with the fortress, including the uprising of Selim Khimshiashvili against the Ottoman Sultan in 1815 and his subsequent execution.</w:t>
      </w:r>
      <w:r w:rsidRPr="00DE0243">
        <w:rPr>
          <w:rFonts w:ascii="Sylfaen" w:hAnsi="Sylfaen"/>
          <w:color w:val="000000"/>
          <w:lang w:val="en-GB"/>
        </w:rPr>
        <w:t xml:space="preserve"> </w:t>
      </w:r>
      <w:r w:rsidRPr="00DE0243">
        <w:rPr>
          <w:rFonts w:ascii="Sylfaen" w:hAnsi="Sylfaen"/>
          <w:color w:val="000000"/>
          <w:sz w:val="24"/>
          <w:szCs w:val="24"/>
          <w:lang w:val="en-GB"/>
        </w:rPr>
        <w:t xml:space="preserve">Information concerning Khikhani Fortress was also preserved by Zakaria Chichinadze. According to his account, archaeological investigations were conducted at the site under the auspices of the Moscow Archaeological Society with </w:t>
      </w:r>
      <w:r w:rsidRPr="00DE0243">
        <w:rPr>
          <w:rFonts w:ascii="Sylfaen" w:hAnsi="Sylfaen"/>
          <w:color w:val="000000"/>
          <w:sz w:val="24"/>
          <w:szCs w:val="24"/>
          <w:lang w:val="en-GB"/>
        </w:rPr>
        <w:lastRenderedPageBreak/>
        <w:t>the aim of uncovering antiquities; however, these excavations reportedly yielded no significant findings.</w:t>
      </w:r>
      <w:r w:rsidRPr="00DE0243">
        <w:rPr>
          <w:rFonts w:ascii="Sylfaen" w:hAnsi="Sylfaen"/>
          <w:color w:val="000000"/>
          <w:lang w:val="en-GB"/>
        </w:rPr>
        <w:t xml:space="preserve"> </w:t>
      </w:r>
      <w:r w:rsidRPr="00DE0243">
        <w:rPr>
          <w:rFonts w:ascii="Sylfaen" w:hAnsi="Sylfaen"/>
          <w:color w:val="000000"/>
          <w:sz w:val="24"/>
          <w:szCs w:val="24"/>
          <w:lang w:val="en-GB"/>
        </w:rPr>
        <w:t>The next scholar to address the fortress was Khariton Akhvlediani. He suggested that the fortress had been constructed after the thirteenth century and hypothesized that brick had been used as a building material. Subsequent archaeological investigations, however, have not confirmed this assumption. Current evidence does not support the use of brick in the construction of the towers, defensive walls, or other architectural structures within the fortress complex.</w:t>
      </w:r>
      <w:r w:rsidRPr="00DE0243">
        <w:rPr>
          <w:rFonts w:ascii="Sylfaen" w:hAnsi="Sylfaen"/>
          <w:color w:val="000000"/>
          <w:lang w:val="en-GB"/>
        </w:rPr>
        <w:t xml:space="preserve"> </w:t>
      </w:r>
      <w:r w:rsidRPr="00DE0243">
        <w:rPr>
          <w:rFonts w:ascii="Sylfaen" w:hAnsi="Sylfaen"/>
          <w:color w:val="000000"/>
          <w:sz w:val="24"/>
          <w:szCs w:val="24"/>
          <w:lang w:val="en-GB"/>
        </w:rPr>
        <w:t>A significant contribution to the study of Khikhani Fortress was made by Shota Mamuladze, who was the first researcher to conduct detailed measurements of its architectural remains, including the church, cellar, fortification walls, and towers. He undertook a thorough analysis of the church’s chronology and, most importantly, emphasized the strategic importance of Khikhani Fortress within the Acharistskali River basin. Mamuladze also characterized the fortress as a town; however, neither the archaeological evidence nor the available written sources support such an interpretation, as the site lacks the defining features of an urban settlement and is consistently referred to as a fortress in historical records.</w:t>
      </w:r>
    </w:p>
    <w:p w14:paraId="726BF90C" w14:textId="551D668D" w:rsidR="009B2CB8" w:rsidRPr="00DE0243" w:rsidRDefault="009B2CB8" w:rsidP="009A663E">
      <w:pPr>
        <w:spacing w:after="0" w:line="360" w:lineRule="auto"/>
        <w:ind w:firstLine="720"/>
        <w:jc w:val="both"/>
        <w:outlineLvl w:val="2"/>
        <w:rPr>
          <w:rFonts w:ascii="Sylfaen" w:eastAsia="Times New Roman" w:hAnsi="Sylfaen" w:cs="Times New Roman"/>
          <w:b/>
          <w:bCs/>
          <w:color w:val="000000"/>
          <w:sz w:val="24"/>
          <w:szCs w:val="24"/>
          <w:lang w:val="en-GB"/>
        </w:rPr>
      </w:pPr>
      <w:r w:rsidRPr="009B2CB8">
        <w:rPr>
          <w:rFonts w:ascii="Sylfaen" w:eastAsia="Times New Roman" w:hAnsi="Sylfaen" w:cs="Times New Roman"/>
          <w:b/>
          <w:bCs/>
          <w:color w:val="000000"/>
          <w:sz w:val="24"/>
          <w:szCs w:val="24"/>
          <w:lang w:val="en-GB"/>
        </w:rPr>
        <w:t>Archaeological Investigations of Khikhani Fortress</w:t>
      </w:r>
      <w:r w:rsidRPr="00DE0243">
        <w:rPr>
          <w:rFonts w:ascii="Sylfaen" w:eastAsia="Times New Roman" w:hAnsi="Sylfaen" w:cs="Times New Roman"/>
          <w:b/>
          <w:bCs/>
          <w:color w:val="000000"/>
          <w:sz w:val="24"/>
          <w:szCs w:val="24"/>
          <w:lang w:val="en-GB"/>
        </w:rPr>
        <w:t xml:space="preserve">: </w:t>
      </w:r>
      <w:r w:rsidRPr="009B2CB8">
        <w:rPr>
          <w:rFonts w:ascii="Sylfaen" w:eastAsia="Times New Roman" w:hAnsi="Sylfaen" w:cs="Times New Roman"/>
          <w:color w:val="000000"/>
          <w:sz w:val="24"/>
          <w:szCs w:val="24"/>
          <w:lang w:val="en-GB"/>
        </w:rPr>
        <w:t xml:space="preserve">Comprehensive archaeological investigations of Khikhani Fortress were undertaken only in the twenty-first century. Systematic excavations were conducted between 2013 and 2017 under the direction of </w:t>
      </w:r>
      <w:r w:rsidRPr="00651CFA">
        <w:rPr>
          <w:rFonts w:ascii="Sylfaen" w:eastAsia="Times New Roman" w:hAnsi="Sylfaen" w:cs="Times New Roman"/>
          <w:b/>
          <w:bCs/>
          <w:color w:val="EE0000"/>
          <w:sz w:val="24"/>
          <w:szCs w:val="24"/>
          <w:lang w:val="en-GB"/>
        </w:rPr>
        <w:t>D. Mindorashvili</w:t>
      </w:r>
      <w:r w:rsidR="00426E02">
        <w:rPr>
          <w:rFonts w:ascii="Sylfaen" w:eastAsia="Times New Roman" w:hAnsi="Sylfaen" w:cs="Times New Roman"/>
          <w:b/>
          <w:bCs/>
          <w:color w:val="EE0000"/>
          <w:sz w:val="24"/>
          <w:szCs w:val="24"/>
          <w:lang w:val="en-GB"/>
        </w:rPr>
        <w:t xml:space="preserve"> </w:t>
      </w:r>
      <w:r w:rsidR="00426E02" w:rsidRPr="00426E02">
        <w:rPr>
          <w:rFonts w:ascii="Sylfaen" w:eastAsia="Times New Roman" w:hAnsi="Sylfaen" w:cs="Times New Roman"/>
          <w:sz w:val="24"/>
          <w:szCs w:val="24"/>
          <w:lang w:val="en-GB"/>
        </w:rPr>
        <w:t>(</w:t>
      </w:r>
      <w:r w:rsidR="00426E02">
        <w:rPr>
          <w:rFonts w:ascii="Sylfaen" w:eastAsia="Times New Roman" w:hAnsi="Sylfaen" w:cs="Times New Roman"/>
          <w:color w:val="000000"/>
          <w:sz w:val="24"/>
          <w:szCs w:val="24"/>
          <w:lang w:val="en-US"/>
        </w:rPr>
        <w:t xml:space="preserve">Expedition members: </w:t>
      </w:r>
      <w:r w:rsidR="00426E02" w:rsidRPr="00426E02">
        <w:rPr>
          <w:rFonts w:ascii="Sylfaen" w:eastAsia="Times New Roman" w:hAnsi="Sylfaen" w:cs="Times New Roman"/>
          <w:b/>
          <w:bCs/>
          <w:color w:val="EE0000"/>
          <w:sz w:val="24"/>
          <w:szCs w:val="24"/>
          <w:lang w:val="en-US"/>
        </w:rPr>
        <w:t>K. Kamadadze</w:t>
      </w:r>
      <w:r w:rsidR="00426E02">
        <w:rPr>
          <w:rFonts w:ascii="Sylfaen" w:eastAsia="Times New Roman" w:hAnsi="Sylfaen" w:cs="Times New Roman"/>
          <w:color w:val="000000"/>
          <w:sz w:val="24"/>
          <w:szCs w:val="24"/>
          <w:lang w:val="en-US"/>
        </w:rPr>
        <w:t xml:space="preserve">, </w:t>
      </w:r>
      <w:r w:rsidR="00426E02" w:rsidRPr="00426E02">
        <w:rPr>
          <w:rFonts w:ascii="Sylfaen" w:eastAsia="Times New Roman" w:hAnsi="Sylfaen" w:cs="Times New Roman"/>
          <w:b/>
          <w:bCs/>
          <w:color w:val="EE0000"/>
          <w:sz w:val="24"/>
          <w:szCs w:val="24"/>
          <w:lang w:val="en-US"/>
        </w:rPr>
        <w:t>G. Chkhatarashvili</w:t>
      </w:r>
      <w:r w:rsidR="00426E02">
        <w:rPr>
          <w:rFonts w:ascii="Sylfaen" w:eastAsia="Times New Roman" w:hAnsi="Sylfaen" w:cs="Times New Roman"/>
          <w:color w:val="000000"/>
          <w:sz w:val="24"/>
          <w:szCs w:val="24"/>
          <w:lang w:val="en-US"/>
        </w:rPr>
        <w:t>)</w:t>
      </w:r>
      <w:r w:rsidRPr="009B2CB8">
        <w:rPr>
          <w:rFonts w:ascii="Sylfaen" w:eastAsia="Times New Roman" w:hAnsi="Sylfaen" w:cs="Times New Roman"/>
          <w:color w:val="000000"/>
          <w:sz w:val="24"/>
          <w:szCs w:val="24"/>
          <w:lang w:val="en-GB"/>
        </w:rPr>
        <w:t>. The archaeological expedition examined several key components of the fortress complex, including the medieval church, two large wine cellars (</w:t>
      </w:r>
      <w:r w:rsidRPr="00DE0243">
        <w:rPr>
          <w:rFonts w:ascii="Sylfaen" w:eastAsia="Times New Roman" w:hAnsi="Sylfaen" w:cs="Times New Roman"/>
          <w:color w:val="000000"/>
          <w:sz w:val="24"/>
          <w:szCs w:val="24"/>
          <w:lang w:val="en-GB"/>
        </w:rPr>
        <w:t>M</w:t>
      </w:r>
      <w:r w:rsidRPr="009B2CB8">
        <w:rPr>
          <w:rFonts w:ascii="Sylfaen" w:eastAsia="Times New Roman" w:hAnsi="Sylfaen" w:cs="Times New Roman"/>
          <w:color w:val="000000"/>
          <w:sz w:val="24"/>
          <w:szCs w:val="24"/>
          <w:lang w:val="en-GB"/>
        </w:rPr>
        <w:t>arani), towers, a bakery, and a number of Late Medieval structures equipped with fireplaces (</w:t>
      </w:r>
      <w:r w:rsidRPr="00651CFA">
        <w:rPr>
          <w:rFonts w:ascii="Sylfaen" w:eastAsia="Times New Roman" w:hAnsi="Sylfaen" w:cs="Times New Roman"/>
          <w:color w:val="0070C0"/>
          <w:sz w:val="24"/>
          <w:szCs w:val="24"/>
          <w:lang w:val="en-GB"/>
        </w:rPr>
        <w:t>Fig. 1-4</w:t>
      </w:r>
      <w:r w:rsidRPr="009B2CB8">
        <w:rPr>
          <w:rFonts w:ascii="Sylfaen" w:eastAsia="Times New Roman" w:hAnsi="Sylfaen" w:cs="Times New Roman"/>
          <w:color w:val="000000"/>
          <w:sz w:val="24"/>
          <w:szCs w:val="24"/>
          <w:lang w:val="en-GB"/>
        </w:rPr>
        <w:t>). The excavations also yielded a substantial assemblage of archaeological materials dating to different historical periods.</w:t>
      </w:r>
      <w:r w:rsidRPr="00DE0243">
        <w:rPr>
          <w:rFonts w:ascii="Sylfaen" w:eastAsia="Times New Roman" w:hAnsi="Sylfaen" w:cs="Times New Roman"/>
          <w:b/>
          <w:bCs/>
          <w:color w:val="000000"/>
          <w:sz w:val="24"/>
          <w:szCs w:val="24"/>
          <w:lang w:val="en-GB"/>
        </w:rPr>
        <w:t xml:space="preserve"> </w:t>
      </w:r>
      <w:r w:rsidRPr="009B2CB8">
        <w:rPr>
          <w:rFonts w:ascii="Sylfaen" w:eastAsia="Times New Roman" w:hAnsi="Sylfaen" w:cs="Times New Roman"/>
          <w:color w:val="000000"/>
          <w:sz w:val="24"/>
          <w:szCs w:val="24"/>
          <w:lang w:val="en-GB"/>
        </w:rPr>
        <w:t>Among the most significant discoveries was the excavation of the fortress palace (</w:t>
      </w:r>
      <w:r w:rsidRPr="00651CFA">
        <w:rPr>
          <w:rFonts w:ascii="Sylfaen" w:eastAsia="Times New Roman" w:hAnsi="Sylfaen" w:cs="Times New Roman"/>
          <w:color w:val="0070C0"/>
          <w:sz w:val="24"/>
          <w:szCs w:val="24"/>
          <w:lang w:val="en-GB"/>
        </w:rPr>
        <w:t>Fig. 5</w:t>
      </w:r>
      <w:r w:rsidRPr="009B2CB8">
        <w:rPr>
          <w:rFonts w:ascii="Sylfaen" w:eastAsia="Times New Roman" w:hAnsi="Sylfaen" w:cs="Times New Roman"/>
          <w:color w:val="000000"/>
          <w:sz w:val="24"/>
          <w:szCs w:val="24"/>
          <w:lang w:val="en-GB"/>
        </w:rPr>
        <w:t>). Archaeological evidence demonstrated that the building was a single-storey</w:t>
      </w:r>
      <w:r w:rsidRPr="00DE0243">
        <w:rPr>
          <w:rFonts w:ascii="Sylfaen" w:eastAsia="Times New Roman" w:hAnsi="Sylfaen" w:cs="Times New Roman"/>
          <w:color w:val="000000"/>
          <w:sz w:val="24"/>
          <w:szCs w:val="24"/>
          <w:lang w:val="en-GB"/>
        </w:rPr>
        <w:t>-</w:t>
      </w:r>
      <w:r w:rsidRPr="009B2CB8">
        <w:rPr>
          <w:rFonts w:ascii="Sylfaen" w:eastAsia="Times New Roman" w:hAnsi="Sylfaen" w:cs="Times New Roman"/>
          <w:color w:val="000000"/>
          <w:sz w:val="24"/>
          <w:szCs w:val="24"/>
          <w:lang w:val="en-GB"/>
        </w:rPr>
        <w:t xml:space="preserve">structure with two entrances. The floor was covered with a layer of lime mortar approximately 2 cm thick, while traces indicate that the interior walls had likewise been plastered with lime mortar. In the north-western corner of the building, a square-shaped elevated platform was identified, which is interpreted as a throne. During the Late Medieval period, an additional structure was erected within the original palace building. In light of both archaeological evidence and written </w:t>
      </w:r>
      <w:r w:rsidRPr="009B2CB8">
        <w:rPr>
          <w:rFonts w:ascii="Sylfaen" w:eastAsia="Times New Roman" w:hAnsi="Sylfaen" w:cs="Times New Roman"/>
          <w:color w:val="000000"/>
          <w:sz w:val="24"/>
          <w:szCs w:val="24"/>
          <w:lang w:val="en-GB"/>
        </w:rPr>
        <w:lastRenderedPageBreak/>
        <w:t>historical sources, the palace appears to have been constructed no later than the eleventh century and possibly even earlier</w:t>
      </w:r>
      <w:r w:rsidRPr="00DE0243">
        <w:rPr>
          <w:rFonts w:ascii="Sylfaen" w:eastAsia="Times New Roman" w:hAnsi="Sylfaen" w:cs="Times New Roman"/>
          <w:color w:val="000000"/>
          <w:sz w:val="24"/>
          <w:szCs w:val="24"/>
          <w:lang w:val="en-GB"/>
        </w:rPr>
        <w:t xml:space="preserve"> </w:t>
      </w:r>
      <w:r w:rsidRPr="009B2CB8">
        <w:rPr>
          <w:rFonts w:ascii="Sylfaen" w:eastAsia="Times New Roman" w:hAnsi="Sylfaen" w:cs="Times New Roman"/>
          <w:color w:val="000000"/>
          <w:sz w:val="24"/>
          <w:szCs w:val="24"/>
          <w:lang w:val="en-GB"/>
        </w:rPr>
        <w:t>(</w:t>
      </w:r>
      <w:r w:rsidRPr="00651CFA">
        <w:rPr>
          <w:rFonts w:ascii="Sylfaen" w:eastAsia="Times New Roman" w:hAnsi="Sylfaen" w:cs="Times New Roman"/>
          <w:color w:val="0070C0"/>
          <w:sz w:val="24"/>
          <w:szCs w:val="24"/>
          <w:lang w:val="en-GB"/>
        </w:rPr>
        <w:t>Fig. 1-4</w:t>
      </w:r>
      <w:r w:rsidRPr="009B2CB8">
        <w:rPr>
          <w:rFonts w:ascii="Sylfaen" w:eastAsia="Times New Roman" w:hAnsi="Sylfaen" w:cs="Times New Roman"/>
          <w:color w:val="000000"/>
          <w:sz w:val="24"/>
          <w:szCs w:val="24"/>
          <w:lang w:val="en-GB"/>
        </w:rPr>
        <w:t>).</w:t>
      </w:r>
    </w:p>
    <w:p w14:paraId="34FB2182" w14:textId="77777777" w:rsidR="009B2CB8" w:rsidRPr="00DE0243" w:rsidRDefault="009B2CB8" w:rsidP="009A663E">
      <w:pPr>
        <w:spacing w:after="0" w:line="360" w:lineRule="auto"/>
        <w:ind w:firstLine="720"/>
        <w:jc w:val="both"/>
        <w:outlineLvl w:val="2"/>
        <w:rPr>
          <w:rFonts w:ascii="Sylfaen" w:eastAsia="Times New Roman" w:hAnsi="Sylfaen" w:cs="Times New Roman"/>
          <w:b/>
          <w:bCs/>
          <w:color w:val="000000"/>
          <w:sz w:val="24"/>
          <w:szCs w:val="24"/>
          <w:lang w:val="en-GB"/>
        </w:rPr>
      </w:pPr>
      <w:r w:rsidRPr="009B2CB8">
        <w:rPr>
          <w:rFonts w:ascii="Sylfaen" w:eastAsia="Times New Roman" w:hAnsi="Sylfaen" w:cs="Times New Roman"/>
          <w:color w:val="000000"/>
          <w:sz w:val="24"/>
          <w:szCs w:val="24"/>
          <w:lang w:val="en-GB"/>
        </w:rPr>
        <w:t>Excavations also revealed the remains of a church within the fortress complex (</w:t>
      </w:r>
      <w:r w:rsidRPr="00651CFA">
        <w:rPr>
          <w:rFonts w:ascii="Sylfaen" w:eastAsia="Times New Roman" w:hAnsi="Sylfaen" w:cs="Times New Roman"/>
          <w:color w:val="0070C0"/>
          <w:sz w:val="24"/>
          <w:szCs w:val="24"/>
          <w:lang w:val="en-GB"/>
        </w:rPr>
        <w:t>Fig. 6</w:t>
      </w:r>
      <w:r w:rsidRPr="009B2CB8">
        <w:rPr>
          <w:rFonts w:ascii="Sylfaen" w:eastAsia="Times New Roman" w:hAnsi="Sylfaen" w:cs="Times New Roman"/>
          <w:color w:val="000000"/>
          <w:sz w:val="24"/>
          <w:szCs w:val="24"/>
          <w:lang w:val="en-GB"/>
        </w:rPr>
        <w:t>). Architectural evidence indicates that the church was roofed with stone slabs. Its construction has traditionally been associated with Tbel Abuseridze, and archaeological data suggest that the church was erected by the thirteenth century.</w:t>
      </w:r>
    </w:p>
    <w:p w14:paraId="2D6DD3B8" w14:textId="28A360B9" w:rsidR="009B2CB8" w:rsidRPr="009B2CB8" w:rsidRDefault="009B2CB8" w:rsidP="009A663E">
      <w:pPr>
        <w:spacing w:after="0" w:line="360" w:lineRule="auto"/>
        <w:ind w:firstLine="720"/>
        <w:jc w:val="both"/>
        <w:outlineLvl w:val="2"/>
        <w:rPr>
          <w:rFonts w:ascii="Sylfaen" w:eastAsia="Times New Roman" w:hAnsi="Sylfaen" w:cstheme="majorBidi"/>
          <w:b/>
          <w:bCs/>
          <w:color w:val="000000"/>
          <w:sz w:val="24"/>
          <w:szCs w:val="24"/>
          <w:lang w:val="en-GB"/>
        </w:rPr>
      </w:pPr>
      <w:r w:rsidRPr="009B2CB8">
        <w:rPr>
          <w:rFonts w:ascii="Sylfaen" w:eastAsia="Times New Roman" w:hAnsi="Sylfaen" w:cstheme="majorBidi"/>
          <w:color w:val="000000"/>
          <w:sz w:val="24"/>
          <w:szCs w:val="24"/>
          <w:lang w:val="en-GB"/>
        </w:rPr>
        <w:t xml:space="preserve">Two large wine cellars were also investigated. One contained twenty-eight </w:t>
      </w:r>
      <w:r w:rsidRPr="00DE0243">
        <w:rPr>
          <w:rFonts w:ascii="Sylfaen" w:eastAsia="Times New Roman" w:hAnsi="Sylfaen" w:cstheme="majorBidi"/>
          <w:color w:val="000000"/>
          <w:sz w:val="24"/>
          <w:szCs w:val="24"/>
          <w:lang w:val="en-GB"/>
        </w:rPr>
        <w:t>Q</w:t>
      </w:r>
      <w:r w:rsidRPr="009B2CB8">
        <w:rPr>
          <w:rFonts w:ascii="Sylfaen" w:eastAsia="Times New Roman" w:hAnsi="Sylfaen" w:cstheme="majorBidi"/>
          <w:color w:val="000000"/>
          <w:sz w:val="24"/>
          <w:szCs w:val="24"/>
          <w:lang w:val="en-GB"/>
        </w:rPr>
        <w:t xml:space="preserve">vevris </w:t>
      </w:r>
      <w:r w:rsidR="00BC2118" w:rsidRPr="00DE0243">
        <w:rPr>
          <w:rFonts w:ascii="Sylfaen" w:eastAsia="Times New Roman" w:hAnsi="Sylfaen" w:cstheme="majorBidi"/>
          <w:color w:val="000000"/>
          <w:sz w:val="24"/>
          <w:szCs w:val="24"/>
          <w:lang w:val="en-GB"/>
        </w:rPr>
        <w:t>(</w:t>
      </w:r>
      <w:r w:rsidR="00BC2118" w:rsidRPr="00DE0243">
        <w:rPr>
          <w:rFonts w:ascii="Sylfaen" w:hAnsi="Sylfaen" w:cstheme="majorBidi"/>
          <w:color w:val="000000"/>
          <w:sz w:val="24"/>
          <w:szCs w:val="24"/>
          <w:lang w:val="en-GB"/>
        </w:rPr>
        <w:t>a large egg-shaped earthenware vessel traditionally buried underground and used for the fermentation, storage, and aging of wine</w:t>
      </w:r>
      <w:r w:rsidR="00BC2118" w:rsidRPr="00DE0243">
        <w:rPr>
          <w:rFonts w:ascii="Sylfaen" w:eastAsia="Times New Roman" w:hAnsi="Sylfaen" w:cstheme="majorBidi"/>
          <w:color w:val="000000"/>
          <w:sz w:val="24"/>
          <w:szCs w:val="24"/>
          <w:lang w:val="en-GB"/>
        </w:rPr>
        <w:t xml:space="preserve">) </w:t>
      </w:r>
      <w:r w:rsidRPr="009B2CB8">
        <w:rPr>
          <w:rFonts w:ascii="Sylfaen" w:eastAsia="Times New Roman" w:hAnsi="Sylfaen" w:cstheme="majorBidi"/>
          <w:color w:val="000000"/>
          <w:sz w:val="24"/>
          <w:szCs w:val="24"/>
          <w:lang w:val="en-GB"/>
        </w:rPr>
        <w:t>(</w:t>
      </w:r>
      <w:r w:rsidRPr="00651CFA">
        <w:rPr>
          <w:rFonts w:ascii="Sylfaen" w:eastAsia="Times New Roman" w:hAnsi="Sylfaen" w:cstheme="majorBidi"/>
          <w:color w:val="0070C0"/>
          <w:sz w:val="24"/>
          <w:szCs w:val="24"/>
          <w:lang w:val="en-GB"/>
        </w:rPr>
        <w:t>Fig. 7</w:t>
      </w:r>
      <w:r w:rsidRPr="009B2CB8">
        <w:rPr>
          <w:rFonts w:ascii="Sylfaen" w:eastAsia="Times New Roman" w:hAnsi="Sylfaen" w:cstheme="majorBidi"/>
          <w:color w:val="000000"/>
          <w:sz w:val="24"/>
          <w:szCs w:val="24"/>
          <w:lang w:val="en-GB"/>
        </w:rPr>
        <w:t xml:space="preserve">), while the second consisted of forty-three </w:t>
      </w:r>
      <w:r w:rsidRPr="00DE0243">
        <w:rPr>
          <w:rFonts w:ascii="Sylfaen" w:eastAsia="Times New Roman" w:hAnsi="Sylfaen" w:cstheme="majorBidi"/>
          <w:color w:val="000000"/>
          <w:sz w:val="24"/>
          <w:szCs w:val="24"/>
          <w:lang w:val="en-GB"/>
        </w:rPr>
        <w:t>Q</w:t>
      </w:r>
      <w:r w:rsidRPr="009B2CB8">
        <w:rPr>
          <w:rFonts w:ascii="Sylfaen" w:eastAsia="Times New Roman" w:hAnsi="Sylfaen" w:cstheme="majorBidi"/>
          <w:color w:val="000000"/>
          <w:sz w:val="24"/>
          <w:szCs w:val="24"/>
          <w:lang w:val="en-GB"/>
        </w:rPr>
        <w:t>vevris (</w:t>
      </w:r>
      <w:r w:rsidRPr="00651CFA">
        <w:rPr>
          <w:rFonts w:ascii="Sylfaen" w:eastAsia="Times New Roman" w:hAnsi="Sylfaen" w:cstheme="majorBidi"/>
          <w:color w:val="0070C0"/>
          <w:sz w:val="24"/>
          <w:szCs w:val="24"/>
          <w:lang w:val="en-GB"/>
        </w:rPr>
        <w:t>Fig. 8</w:t>
      </w:r>
      <w:r w:rsidRPr="009B2CB8">
        <w:rPr>
          <w:rFonts w:ascii="Sylfaen" w:eastAsia="Times New Roman" w:hAnsi="Sylfaen" w:cstheme="majorBidi"/>
          <w:color w:val="000000"/>
          <w:sz w:val="24"/>
          <w:szCs w:val="24"/>
          <w:lang w:val="en-GB"/>
        </w:rPr>
        <w:t>), demonstrating the considerable scale of wine production and storage activities within the fortress.</w:t>
      </w:r>
    </w:p>
    <w:p w14:paraId="695FFF3A" w14:textId="77777777" w:rsidR="009B2CB8" w:rsidRPr="009B2CB8" w:rsidRDefault="009B2CB8" w:rsidP="009A663E">
      <w:pPr>
        <w:spacing w:after="0" w:line="360" w:lineRule="auto"/>
        <w:ind w:firstLine="720"/>
        <w:jc w:val="both"/>
        <w:rPr>
          <w:rFonts w:ascii="Sylfaen" w:eastAsia="Times New Roman" w:hAnsi="Sylfaen" w:cs="Times New Roman"/>
          <w:color w:val="000000"/>
          <w:sz w:val="24"/>
          <w:szCs w:val="24"/>
          <w:lang w:val="en-GB"/>
        </w:rPr>
      </w:pPr>
      <w:r w:rsidRPr="009B2CB8">
        <w:rPr>
          <w:rFonts w:ascii="Sylfaen" w:eastAsia="Times New Roman" w:hAnsi="Sylfaen" w:cs="Times New Roman"/>
          <w:color w:val="000000"/>
          <w:sz w:val="24"/>
          <w:szCs w:val="24"/>
          <w:lang w:val="en-GB"/>
        </w:rPr>
        <w:t>In addition, the remains of several Late Medieval buildings were identified across the site. These findings indicate that Khikhani Fortress retained its strategic and economic significance throughout subsequent historical periods.</w:t>
      </w:r>
    </w:p>
    <w:p w14:paraId="02464821" w14:textId="320D2449" w:rsidR="009B2CB8" w:rsidRPr="00DE0243" w:rsidRDefault="009B2CB8" w:rsidP="009A663E">
      <w:pPr>
        <w:spacing w:after="0" w:line="360" w:lineRule="auto"/>
        <w:ind w:firstLine="720"/>
        <w:jc w:val="both"/>
        <w:rPr>
          <w:rFonts w:ascii="Sylfaen" w:eastAsia="Times New Roman" w:hAnsi="Sylfaen" w:cs="Times New Roman"/>
          <w:color w:val="000000"/>
          <w:sz w:val="24"/>
          <w:szCs w:val="24"/>
          <w:lang w:val="en-GB"/>
        </w:rPr>
      </w:pPr>
      <w:r w:rsidRPr="009B2CB8">
        <w:rPr>
          <w:rFonts w:ascii="Sylfaen" w:eastAsia="Times New Roman" w:hAnsi="Sylfaen" w:cs="Times New Roman"/>
          <w:color w:val="000000"/>
          <w:sz w:val="24"/>
          <w:szCs w:val="24"/>
          <w:lang w:val="en-GB"/>
        </w:rPr>
        <w:t xml:space="preserve">The archaeological investigations considerably enhanced our understanding of the fortress’s architectural development and construction techniques. The excavations clarified the layout, dimensions, and chronology of the principal structures. Evidence suggests that the earliest construction activities at Khikhani Fortress began in the tenth century and that by the 1040s the fortress was already functioning as a fully developed complex with its principal buildings in place. The earliest structures included the defensive walls and towers, while the palace and the cellar containing forty-three </w:t>
      </w:r>
      <w:proofErr w:type="spellStart"/>
      <w:r w:rsidRPr="009B2CB8">
        <w:rPr>
          <w:rFonts w:ascii="Sylfaen" w:eastAsia="Times New Roman" w:hAnsi="Sylfaen" w:cs="Times New Roman"/>
          <w:color w:val="000000"/>
          <w:sz w:val="24"/>
          <w:szCs w:val="24"/>
          <w:lang w:val="en-GB"/>
        </w:rPr>
        <w:t>qvevris</w:t>
      </w:r>
      <w:proofErr w:type="spellEnd"/>
      <w:r w:rsidRPr="009B2CB8">
        <w:rPr>
          <w:rFonts w:ascii="Sylfaen" w:eastAsia="Times New Roman" w:hAnsi="Sylfaen" w:cs="Times New Roman"/>
          <w:color w:val="000000"/>
          <w:sz w:val="24"/>
          <w:szCs w:val="24"/>
          <w:lang w:val="en-GB"/>
        </w:rPr>
        <w:t xml:space="preserve"> were constructed during the late tenth and early eleventh centuries. The twenty-eight-qvevri cellar dates to the early thirteenth century, whereas the church belongs to a slightly later phase and was likely erected during the 1230s.</w:t>
      </w:r>
      <w:r w:rsidRPr="00DE0243">
        <w:rPr>
          <w:rFonts w:ascii="Sylfaen" w:eastAsia="Times New Roman" w:hAnsi="Sylfaen" w:cs="Times New Roman"/>
          <w:color w:val="000000"/>
          <w:sz w:val="24"/>
          <w:szCs w:val="24"/>
          <w:lang w:val="en-GB"/>
        </w:rPr>
        <w:t xml:space="preserve"> </w:t>
      </w:r>
      <w:r w:rsidRPr="009B2CB8">
        <w:rPr>
          <w:rFonts w:ascii="Sylfaen" w:eastAsia="Times New Roman" w:hAnsi="Sylfaen" w:cs="Times New Roman"/>
          <w:color w:val="000000"/>
          <w:sz w:val="24"/>
          <w:szCs w:val="24"/>
          <w:lang w:val="en-GB"/>
        </w:rPr>
        <w:t>Construction activity within the fortress continued throughout the medieval period. Archaeological evidence indicates, however, that the most intensive phase of development had ended by the thirteenth century. While the existing buildings remained in use, no major new architectural additions were made after that period. The fortress underwent substantial reorganization during the seventeenth and eighteenth centuries, reflecting changing political and military circumstances. Ultimately, Khikhani Fortress ceased to function during the first half of the nineteenth century.</w:t>
      </w:r>
    </w:p>
    <w:p w14:paraId="101C5FA3" w14:textId="77777777" w:rsidR="00BC2118" w:rsidRPr="00DE0243" w:rsidRDefault="00BC2118" w:rsidP="009A663E">
      <w:pPr>
        <w:pStyle w:val="Heading3"/>
        <w:spacing w:before="0" w:beforeAutospacing="0" w:after="0" w:afterAutospacing="0" w:line="360" w:lineRule="auto"/>
        <w:ind w:firstLine="720"/>
        <w:jc w:val="both"/>
        <w:rPr>
          <w:rFonts w:ascii="Sylfaen" w:hAnsi="Sylfaen"/>
          <w:b w:val="0"/>
          <w:bCs w:val="0"/>
          <w:color w:val="000000"/>
          <w:sz w:val="24"/>
          <w:szCs w:val="24"/>
          <w:lang w:val="en-GB"/>
        </w:rPr>
      </w:pPr>
      <w:r w:rsidRPr="00DE0243">
        <w:rPr>
          <w:rFonts w:ascii="Sylfaen" w:hAnsi="Sylfaen"/>
          <w:color w:val="000000"/>
          <w:sz w:val="24"/>
          <w:szCs w:val="24"/>
          <w:lang w:val="en-GB"/>
        </w:rPr>
        <w:lastRenderedPageBreak/>
        <w:t>Archaeological Material:</w:t>
      </w:r>
      <w:r w:rsidRPr="00DE0243">
        <w:rPr>
          <w:rFonts w:ascii="Sylfaen" w:hAnsi="Sylfaen"/>
          <w:b w:val="0"/>
          <w:bCs w:val="0"/>
          <w:color w:val="000000"/>
          <w:sz w:val="24"/>
          <w:szCs w:val="24"/>
          <w:lang w:val="en-GB"/>
        </w:rPr>
        <w:t xml:space="preserve"> Archaeological excavations conducted at Khikhani Fortress between 2013 and 2017 yielded a rich assemblage of artifacts dating to different historical periods (</w:t>
      </w:r>
      <w:r w:rsidRPr="00651CFA">
        <w:rPr>
          <w:rFonts w:ascii="Sylfaen" w:hAnsi="Sylfaen"/>
          <w:b w:val="0"/>
          <w:bCs w:val="0"/>
          <w:color w:val="0070C0"/>
          <w:sz w:val="24"/>
          <w:szCs w:val="24"/>
          <w:lang w:val="en-GB"/>
        </w:rPr>
        <w:t>Fig. 9-18</w:t>
      </w:r>
      <w:r w:rsidRPr="00DE0243">
        <w:rPr>
          <w:rFonts w:ascii="Sylfaen" w:hAnsi="Sylfaen"/>
          <w:b w:val="0"/>
          <w:bCs w:val="0"/>
          <w:color w:val="000000"/>
          <w:sz w:val="24"/>
          <w:szCs w:val="24"/>
          <w:lang w:val="en-GB"/>
        </w:rPr>
        <w:t xml:space="preserve">). </w:t>
      </w:r>
    </w:p>
    <w:p w14:paraId="4922A095" w14:textId="76ABF775" w:rsidR="00BC2118" w:rsidRPr="00DE0243" w:rsidRDefault="00BC2118" w:rsidP="009A663E">
      <w:pPr>
        <w:pStyle w:val="Heading3"/>
        <w:spacing w:before="0" w:beforeAutospacing="0" w:after="0" w:afterAutospacing="0" w:line="360" w:lineRule="auto"/>
        <w:ind w:firstLine="720"/>
        <w:jc w:val="both"/>
        <w:rPr>
          <w:rFonts w:ascii="Sylfaen" w:hAnsi="Sylfaen"/>
          <w:b w:val="0"/>
          <w:bCs w:val="0"/>
          <w:color w:val="000000"/>
          <w:sz w:val="24"/>
          <w:szCs w:val="24"/>
          <w:lang w:val="en-GB"/>
        </w:rPr>
      </w:pPr>
      <w:r w:rsidRPr="00DE0243">
        <w:rPr>
          <w:rFonts w:ascii="Sylfaen" w:hAnsi="Sylfaen"/>
          <w:b w:val="0"/>
          <w:bCs w:val="0"/>
          <w:color w:val="000000"/>
          <w:sz w:val="24"/>
          <w:szCs w:val="24"/>
          <w:lang w:val="en-GB"/>
        </w:rPr>
        <w:t>Among the recovered materials, ceramic vessels - particularly storage jars (Qvevris) - constitute one of the most significant categories of finds (</w:t>
      </w:r>
      <w:r w:rsidRPr="00651CFA">
        <w:rPr>
          <w:rFonts w:ascii="Sylfaen" w:hAnsi="Sylfaen"/>
          <w:b w:val="0"/>
          <w:bCs w:val="0"/>
          <w:color w:val="0070C0"/>
          <w:sz w:val="24"/>
          <w:szCs w:val="24"/>
          <w:lang w:val="en-GB"/>
        </w:rPr>
        <w:t>Fig. 15-16</w:t>
      </w:r>
      <w:r w:rsidRPr="00DE0243">
        <w:rPr>
          <w:rFonts w:ascii="Sylfaen" w:hAnsi="Sylfaen"/>
          <w:b w:val="0"/>
          <w:bCs w:val="0"/>
          <w:color w:val="000000"/>
          <w:sz w:val="24"/>
          <w:szCs w:val="24"/>
          <w:lang w:val="en-GB"/>
        </w:rPr>
        <w:t>). The majority of these vessels belong to the group of agricultural ceramics and are generally characterized by their large dimensions, although medium-sized and smaller examples were also identified. Qvevris were recovered from both excavated wine cellars. The first cellar, containing 28 Qvevris and dated to the late tenth and early eleventh centuries (</w:t>
      </w:r>
      <w:r w:rsidRPr="00651CFA">
        <w:rPr>
          <w:rFonts w:ascii="Sylfaen" w:hAnsi="Sylfaen"/>
          <w:b w:val="0"/>
          <w:bCs w:val="0"/>
          <w:color w:val="0070C0"/>
          <w:sz w:val="24"/>
          <w:szCs w:val="24"/>
          <w:lang w:val="en-GB"/>
        </w:rPr>
        <w:t>Fig. 7</w:t>
      </w:r>
      <w:r w:rsidRPr="00DE0243">
        <w:rPr>
          <w:rFonts w:ascii="Sylfaen" w:hAnsi="Sylfaen"/>
          <w:b w:val="0"/>
          <w:bCs w:val="0"/>
          <w:color w:val="000000"/>
          <w:sz w:val="24"/>
          <w:szCs w:val="24"/>
          <w:lang w:val="en-GB"/>
        </w:rPr>
        <w:t xml:space="preserve">), yielded vessels of varying sizes. The smaller and medium-sized examples are characterized by an egg-shaped body, a relatively short neck, and a </w:t>
      </w:r>
      <w:proofErr w:type="gramStart"/>
      <w:r w:rsidRPr="00DE0243">
        <w:rPr>
          <w:rFonts w:ascii="Sylfaen" w:hAnsi="Sylfaen"/>
          <w:b w:val="0"/>
          <w:bCs w:val="0"/>
          <w:color w:val="000000"/>
          <w:sz w:val="24"/>
          <w:szCs w:val="24"/>
          <w:lang w:val="en-GB"/>
        </w:rPr>
        <w:t>narrow</w:t>
      </w:r>
      <w:r w:rsidR="00651CFA">
        <w:rPr>
          <w:rFonts w:ascii="Sylfaen" w:hAnsi="Sylfaen"/>
          <w:b w:val="0"/>
          <w:bCs w:val="0"/>
          <w:color w:val="000000"/>
          <w:sz w:val="24"/>
          <w:szCs w:val="24"/>
          <w:lang w:val="en-GB"/>
        </w:rPr>
        <w:t xml:space="preserve"> </w:t>
      </w:r>
      <w:r w:rsidRPr="00DE0243">
        <w:rPr>
          <w:rFonts w:ascii="Sylfaen" w:hAnsi="Sylfaen"/>
          <w:b w:val="0"/>
          <w:bCs w:val="0"/>
          <w:color w:val="000000"/>
          <w:sz w:val="24"/>
          <w:szCs w:val="24"/>
          <w:lang w:val="en-GB"/>
        </w:rPr>
        <w:t>elongated</w:t>
      </w:r>
      <w:proofErr w:type="gramEnd"/>
      <w:r w:rsidRPr="00DE0243">
        <w:rPr>
          <w:rFonts w:ascii="Sylfaen" w:hAnsi="Sylfaen"/>
          <w:b w:val="0"/>
          <w:bCs w:val="0"/>
          <w:color w:val="000000"/>
          <w:sz w:val="24"/>
          <w:szCs w:val="24"/>
          <w:lang w:val="en-GB"/>
        </w:rPr>
        <w:t xml:space="preserve"> base. The larger specimens exhibit considerable height, straight profiles, a triangular rim section, a narrow neck, and a pronounced globular body. In terms of decoration, some Qvevris are plain and undecorated, while others feature simple applied bands or relief belts. A limited number of vessels are entirely encircled by relief bands accompanied by evenly spaced grooves. Examples decorated with circular relief ornaments were also identified. The Qvevris recovered from the 28-vessel cellar are generally characterized by high and narrow necks, swollen bodies, and profiled bases. Decorative elements include rope-like ornaments and circular relief bands, although many vessels lack any ornamentation. The second cellar, containing 43 Qvevris and dated to the thirteenth century (</w:t>
      </w:r>
      <w:r w:rsidRPr="00651CFA">
        <w:rPr>
          <w:rFonts w:ascii="Sylfaen" w:hAnsi="Sylfaen"/>
          <w:b w:val="0"/>
          <w:bCs w:val="0"/>
          <w:color w:val="0070C0"/>
          <w:sz w:val="24"/>
          <w:szCs w:val="24"/>
          <w:lang w:val="en-GB"/>
        </w:rPr>
        <w:t>Fig. 8</w:t>
      </w:r>
      <w:r w:rsidRPr="00DE0243">
        <w:rPr>
          <w:rFonts w:ascii="Sylfaen" w:hAnsi="Sylfaen"/>
          <w:b w:val="0"/>
          <w:bCs w:val="0"/>
          <w:color w:val="000000"/>
          <w:sz w:val="24"/>
          <w:szCs w:val="24"/>
          <w:lang w:val="en-GB"/>
        </w:rPr>
        <w:t>), provides evidence of differing installation techniques. Some vessels were set within a</w:t>
      </w:r>
      <w:r w:rsidRPr="00DE0243">
        <w:rPr>
          <w:rStyle w:val="apple-converted-space"/>
          <w:rFonts w:ascii="Sylfaen" w:hAnsi="Sylfaen"/>
          <w:b w:val="0"/>
          <w:bCs w:val="0"/>
          <w:color w:val="000000"/>
          <w:sz w:val="24"/>
          <w:szCs w:val="24"/>
          <w:lang w:val="en-GB"/>
        </w:rPr>
        <w:t> </w:t>
      </w:r>
      <w:r w:rsidRPr="00651CFA">
        <w:rPr>
          <w:rStyle w:val="Strong"/>
          <w:rFonts w:ascii="Sylfaen" w:hAnsi="Sylfaen"/>
          <w:i/>
          <w:iCs/>
          <w:color w:val="000000"/>
          <w:sz w:val="24"/>
          <w:szCs w:val="24"/>
          <w:lang w:val="en-GB"/>
        </w:rPr>
        <w:t>Kirdughabi</w:t>
      </w:r>
      <w:r w:rsidR="00651CFA" w:rsidRPr="00651CFA">
        <w:rPr>
          <w:rStyle w:val="Strong"/>
          <w:rFonts w:ascii="Sylfaen" w:hAnsi="Sylfaen"/>
          <w:color w:val="000000"/>
          <w:sz w:val="24"/>
          <w:szCs w:val="24"/>
          <w:lang w:val="en-GB"/>
        </w:rPr>
        <w:t>/</w:t>
      </w:r>
      <w:r w:rsidR="00651CFA" w:rsidRPr="00651CFA">
        <w:rPr>
          <w:rStyle w:val="Strong"/>
          <w:rFonts w:ascii="Sylfaen" w:hAnsi="Sylfaen"/>
          <w:color w:val="000000"/>
          <w:sz w:val="24"/>
          <w:szCs w:val="24"/>
        </w:rPr>
        <w:t>lime mortar</w:t>
      </w:r>
      <w:r w:rsidRPr="00DE0243">
        <w:rPr>
          <w:rStyle w:val="apple-converted-space"/>
          <w:rFonts w:ascii="Sylfaen" w:hAnsi="Sylfaen"/>
          <w:b w:val="0"/>
          <w:bCs w:val="0"/>
          <w:color w:val="000000"/>
          <w:sz w:val="24"/>
          <w:szCs w:val="24"/>
          <w:lang w:val="en-GB"/>
        </w:rPr>
        <w:t> </w:t>
      </w:r>
      <w:r w:rsidRPr="00DE0243">
        <w:rPr>
          <w:rFonts w:ascii="Sylfaen" w:hAnsi="Sylfaen"/>
          <w:b w:val="0"/>
          <w:bCs w:val="0"/>
          <w:color w:val="000000"/>
          <w:sz w:val="24"/>
          <w:szCs w:val="24"/>
          <w:lang w:val="en-GB"/>
        </w:rPr>
        <w:t>(a stone or masonry retaining structure constructed around a Qvevri to ensure stability and protection), whereas others were installed directly into the ground without such reinforcement.</w:t>
      </w:r>
    </w:p>
    <w:p w14:paraId="295A01A5" w14:textId="57B6AA38" w:rsidR="00DE0243" w:rsidRPr="00DE0243" w:rsidRDefault="00DE0243" w:rsidP="009A663E">
      <w:pPr>
        <w:pStyle w:val="NormalWeb"/>
        <w:spacing w:before="0" w:beforeAutospacing="0" w:after="0" w:afterAutospacing="0" w:line="360" w:lineRule="auto"/>
        <w:ind w:firstLine="720"/>
        <w:jc w:val="both"/>
        <w:rPr>
          <w:rFonts w:ascii="Sylfaen" w:hAnsi="Sylfaen"/>
          <w:color w:val="000000"/>
          <w:lang w:val="en-GB"/>
        </w:rPr>
      </w:pPr>
      <w:r w:rsidRPr="00DE0243">
        <w:rPr>
          <w:rFonts w:ascii="Sylfaen" w:hAnsi="Sylfaen"/>
          <w:color w:val="000000"/>
          <w:lang w:val="en-GB"/>
        </w:rPr>
        <w:t>Additional Qvevris were discovered within the altar area of the fortress church. These vessels date to the Late Medieval period and are characterized by flat rims, short necks, elongated egg-shaped bodies, and narrow flat bases. A distinctive feature of these Qvevris is the presence of three incised crosses on the rim, which may indicate their liturgical or symbolic function within the ecclesiastical context (</w:t>
      </w:r>
      <w:r w:rsidRPr="00651CFA">
        <w:rPr>
          <w:rFonts w:ascii="Sylfaen" w:hAnsi="Sylfaen"/>
          <w:color w:val="0070C0"/>
          <w:lang w:val="en-GB"/>
        </w:rPr>
        <w:t>Fig. 16</w:t>
      </w:r>
      <w:r w:rsidRPr="00DE0243">
        <w:rPr>
          <w:rFonts w:ascii="Sylfaen" w:hAnsi="Sylfaen"/>
          <w:color w:val="000000"/>
          <w:lang w:val="en-GB"/>
        </w:rPr>
        <w:t>).</w:t>
      </w:r>
    </w:p>
    <w:p w14:paraId="7CFDD474" w14:textId="4ED8C314" w:rsidR="00DE0243" w:rsidRPr="00DE0243" w:rsidRDefault="00DE0243" w:rsidP="009A663E">
      <w:pPr>
        <w:pStyle w:val="NormalWeb"/>
        <w:spacing w:before="0" w:beforeAutospacing="0" w:after="0" w:afterAutospacing="0" w:line="360" w:lineRule="auto"/>
        <w:ind w:firstLine="720"/>
        <w:jc w:val="both"/>
        <w:rPr>
          <w:rFonts w:ascii="Sylfaen" w:hAnsi="Sylfaen"/>
          <w:color w:val="000000"/>
          <w:lang w:val="en-GB"/>
        </w:rPr>
      </w:pPr>
      <w:r w:rsidRPr="00DE0243">
        <w:rPr>
          <w:rFonts w:ascii="Sylfaen" w:hAnsi="Sylfaen"/>
          <w:color w:val="000000"/>
          <w:lang w:val="en-GB"/>
        </w:rPr>
        <w:t xml:space="preserve">Kitchen ceramics are represented primarily by </w:t>
      </w:r>
      <w:proofErr w:type="spellStart"/>
      <w:r>
        <w:rPr>
          <w:rFonts w:ascii="Sylfaen" w:hAnsi="Sylfaen"/>
          <w:color w:val="000000"/>
        </w:rPr>
        <w:t>Ketsis</w:t>
      </w:r>
      <w:proofErr w:type="spellEnd"/>
      <w:r>
        <w:rPr>
          <w:rFonts w:ascii="Sylfaen" w:hAnsi="Sylfaen"/>
          <w:color w:val="000000"/>
        </w:rPr>
        <w:t xml:space="preserve"> </w:t>
      </w:r>
      <w:r w:rsidRPr="00DE0243">
        <w:rPr>
          <w:rFonts w:ascii="Sylfaen" w:hAnsi="Sylfaen"/>
          <w:color w:val="000000"/>
        </w:rPr>
        <w:t>(</w:t>
      </w:r>
      <w:r w:rsidRPr="00DE0243">
        <w:rPr>
          <w:rStyle w:val="Strong"/>
          <w:rFonts w:ascii="Sylfaen" w:hAnsi="Sylfaen"/>
          <w:b w:val="0"/>
          <w:bCs w:val="0"/>
          <w:color w:val="000000"/>
        </w:rPr>
        <w:t>a</w:t>
      </w:r>
      <w:r w:rsidRPr="00DE0243">
        <w:rPr>
          <w:rStyle w:val="Strong"/>
          <w:rFonts w:ascii="Sylfaen" w:hAnsi="Sylfaen"/>
          <w:color w:val="000000"/>
        </w:rPr>
        <w:t xml:space="preserve"> </w:t>
      </w:r>
      <w:r w:rsidRPr="00DE0243">
        <w:rPr>
          <w:rFonts w:ascii="Sylfaen" w:hAnsi="Sylfaen"/>
          <w:color w:val="000000"/>
        </w:rPr>
        <w:t>traditional Georgian earthenware baking pan used for baking bread, meat, fish, and other food products)</w:t>
      </w:r>
      <w:r w:rsidRPr="00DE0243">
        <w:rPr>
          <w:rFonts w:ascii="Sylfaen" w:hAnsi="Sylfaen"/>
          <w:color w:val="000000"/>
          <w:lang w:val="en-GB"/>
        </w:rPr>
        <w:t xml:space="preserve"> and cooking pots (</w:t>
      </w:r>
      <w:r w:rsidRPr="00695450">
        <w:rPr>
          <w:rFonts w:ascii="Sylfaen" w:hAnsi="Sylfaen"/>
          <w:color w:val="0070C0"/>
          <w:lang w:val="en-GB"/>
        </w:rPr>
        <w:t>Fig. 9-14; Fig. 18-19</w:t>
      </w:r>
      <w:r w:rsidRPr="00DE0243">
        <w:rPr>
          <w:rFonts w:ascii="Sylfaen" w:hAnsi="Sylfaen"/>
          <w:color w:val="000000"/>
          <w:lang w:val="en-GB"/>
        </w:rPr>
        <w:t xml:space="preserve">). The </w:t>
      </w:r>
      <w:proofErr w:type="spellStart"/>
      <w:r>
        <w:rPr>
          <w:rFonts w:ascii="Sylfaen" w:hAnsi="Sylfaen"/>
          <w:color w:val="000000"/>
        </w:rPr>
        <w:t>Ketsis</w:t>
      </w:r>
      <w:proofErr w:type="spellEnd"/>
      <w:r>
        <w:rPr>
          <w:rFonts w:ascii="Sylfaen" w:hAnsi="Sylfaen"/>
          <w:color w:val="000000"/>
        </w:rPr>
        <w:t xml:space="preserve"> </w:t>
      </w:r>
      <w:r w:rsidRPr="00DE0243">
        <w:rPr>
          <w:rFonts w:ascii="Sylfaen" w:hAnsi="Sylfaen"/>
          <w:color w:val="000000"/>
          <w:lang w:val="en-GB"/>
        </w:rPr>
        <w:t xml:space="preserve">are characterized by rounded rims, low </w:t>
      </w:r>
      <w:r w:rsidRPr="00DE0243">
        <w:rPr>
          <w:rFonts w:ascii="Sylfaen" w:hAnsi="Sylfaen"/>
          <w:color w:val="000000"/>
          <w:lang w:val="en-GB"/>
        </w:rPr>
        <w:lastRenderedPageBreak/>
        <w:t>shoulders, and relatively thick walls. While some examples are plain and undecorated, others display a variety of decorative motifs, including rope-like bands, densely incised ornamentation, and raised circular protrusions along the inner rim. Several specimens are also equipped with handles.</w:t>
      </w:r>
      <w:r>
        <w:rPr>
          <w:rFonts w:ascii="Sylfaen" w:hAnsi="Sylfaen"/>
          <w:color w:val="000000"/>
          <w:lang w:val="en-GB"/>
        </w:rPr>
        <w:t xml:space="preserve"> </w:t>
      </w:r>
    </w:p>
    <w:p w14:paraId="30CC6B37" w14:textId="77777777" w:rsidR="00DE0243" w:rsidRPr="00DE0243" w:rsidRDefault="00DE0243" w:rsidP="009A663E">
      <w:pPr>
        <w:pStyle w:val="NormalWeb"/>
        <w:spacing w:before="0" w:beforeAutospacing="0" w:after="0" w:afterAutospacing="0" w:line="360" w:lineRule="auto"/>
        <w:ind w:firstLine="720"/>
        <w:jc w:val="both"/>
        <w:rPr>
          <w:rFonts w:ascii="Sylfaen" w:hAnsi="Sylfaen"/>
          <w:color w:val="000000"/>
          <w:lang w:val="en-GB"/>
        </w:rPr>
      </w:pPr>
      <w:r w:rsidRPr="00DE0243">
        <w:rPr>
          <w:rFonts w:ascii="Sylfaen" w:hAnsi="Sylfaen"/>
          <w:color w:val="000000"/>
          <w:lang w:val="en-GB"/>
        </w:rPr>
        <w:t>The assemblage of cooking pots exhibits considerable morphological diversity. Their rims are either triangular in cross-section or rounded and wide-mouthed. Some vessels contain perforations intended for fastening or suspension, while others are fitted with flat-section handles attached either to the rim or the vessel body. A number of examples feature carved handles and decorative elements such as applied relief bands and embossed wavy patterns. Particularly noteworthy are vessels adorned with characteristic rope-like relief belts, a decorative tradition widely attested in medieval Georgian ceramic production.</w:t>
      </w:r>
    </w:p>
    <w:p w14:paraId="0EDBFC68" w14:textId="28D0695A" w:rsidR="00DE0243" w:rsidRPr="007B480A" w:rsidRDefault="00DE0243" w:rsidP="009A663E">
      <w:pPr>
        <w:pStyle w:val="NormalWeb"/>
        <w:spacing w:before="0" w:beforeAutospacing="0" w:after="0" w:afterAutospacing="0" w:line="360" w:lineRule="auto"/>
        <w:ind w:firstLine="720"/>
        <w:jc w:val="both"/>
        <w:rPr>
          <w:rFonts w:ascii="Sylfaen" w:hAnsi="Sylfaen"/>
          <w:color w:val="000000"/>
          <w:lang w:val="en-GB"/>
        </w:rPr>
      </w:pPr>
      <w:r w:rsidRPr="00DE0243">
        <w:rPr>
          <w:rFonts w:ascii="Sylfaen" w:hAnsi="Sylfaen"/>
          <w:color w:val="000000"/>
          <w:lang w:val="en-GB"/>
        </w:rPr>
        <w:t>Tableware is represented by a diverse assemblage of jugs, cups, and bowls (</w:t>
      </w:r>
      <w:r w:rsidRPr="00695450">
        <w:rPr>
          <w:rFonts w:ascii="Sylfaen" w:hAnsi="Sylfaen"/>
          <w:color w:val="0070C0"/>
          <w:lang w:val="en-GB"/>
        </w:rPr>
        <w:t>Fig. 9-14; Fig. 18-19</w:t>
      </w:r>
      <w:r w:rsidRPr="00DE0243">
        <w:rPr>
          <w:rFonts w:ascii="Sylfaen" w:hAnsi="Sylfaen"/>
          <w:color w:val="000000"/>
          <w:lang w:val="en-GB"/>
        </w:rPr>
        <w:t>). The bowls are predominantly shallow in form, with rounded rims, gently curved shoulders, high walls, and low flat bases. Some examples bear decorative motifs, while others remain undecorated. The vessels are generally manufactured from fine-grained clay, although larger inclusions are occasionally present. Comparable bowl forms have been identified at several medieval sites excavated within the Ajaristskali River basin and are generally dated to the seventeenth and eighteenth centuries.</w:t>
      </w:r>
      <w:r>
        <w:rPr>
          <w:rFonts w:ascii="Sylfaen" w:hAnsi="Sylfaen"/>
          <w:color w:val="000000"/>
          <w:lang w:val="en-GB"/>
        </w:rPr>
        <w:t xml:space="preserve"> </w:t>
      </w:r>
      <w:r w:rsidRPr="00DE0243">
        <w:rPr>
          <w:rFonts w:ascii="Sylfaen" w:hAnsi="Sylfaen"/>
          <w:color w:val="000000"/>
          <w:lang w:val="en-GB"/>
        </w:rPr>
        <w:t xml:space="preserve">Particularly noteworthy are bowls with angular profiles, a form less common in eastern Georgian ceramic assemblages but increasingly attested within the Chorokhi River basin. Examples of angular-based bowls have been recovered from several excavated sites in the Ajaristskali valley, including Skhalta, </w:t>
      </w:r>
      <w:proofErr w:type="spellStart"/>
      <w:r w:rsidRPr="00DE0243">
        <w:rPr>
          <w:rFonts w:ascii="Sylfaen" w:hAnsi="Sylfaen"/>
          <w:color w:val="000000"/>
          <w:lang w:val="en-GB"/>
        </w:rPr>
        <w:t>Tikanauri</w:t>
      </w:r>
      <w:proofErr w:type="spellEnd"/>
      <w:r w:rsidRPr="00DE0243">
        <w:rPr>
          <w:rFonts w:ascii="Sylfaen" w:hAnsi="Sylfaen"/>
          <w:color w:val="000000"/>
          <w:lang w:val="en-GB"/>
        </w:rPr>
        <w:t xml:space="preserve">, Kalota, and </w:t>
      </w:r>
      <w:proofErr w:type="spellStart"/>
      <w:r w:rsidRPr="00DE0243">
        <w:rPr>
          <w:rFonts w:ascii="Sylfaen" w:hAnsi="Sylfaen"/>
          <w:color w:val="000000"/>
          <w:lang w:val="en-GB"/>
        </w:rPr>
        <w:t>Satsikhuri</w:t>
      </w:r>
      <w:proofErr w:type="spellEnd"/>
      <w:r w:rsidRPr="00DE0243">
        <w:rPr>
          <w:rFonts w:ascii="Sylfaen" w:hAnsi="Sylfaen"/>
          <w:color w:val="000000"/>
          <w:lang w:val="en-GB"/>
        </w:rPr>
        <w:t>. The assemblage also includes wide-mouthed rounded bowls and three-lobed vessels, reflecting a variety of functional and stylistic traditions.</w:t>
      </w:r>
      <w:r w:rsidR="007B480A">
        <w:rPr>
          <w:rFonts w:ascii="Sylfaen" w:hAnsi="Sylfaen"/>
          <w:color w:val="000000"/>
          <w:lang w:val="en-GB"/>
        </w:rPr>
        <w:t xml:space="preserve"> </w:t>
      </w:r>
      <w:r w:rsidRPr="00DE0243">
        <w:rPr>
          <w:rFonts w:ascii="Sylfaen" w:hAnsi="Sylfaen"/>
          <w:color w:val="000000"/>
          <w:lang w:val="en-GB"/>
        </w:rPr>
        <w:t>Among the jug assemblage, a vessel characterized by a narrow spout and high neck deserves special attention. Its handles are decorated with incised motifs, while traces of painted decoration are also preserved. The bases of the jugs are either flat or slightly concave, and the vessels typically rest on low profiled foot-rings. Of particular interest is the presence of incised crosses on the handles of some examples, suggesting a possible symbolic or religious significance.</w:t>
      </w:r>
      <w:r w:rsidR="007B480A">
        <w:rPr>
          <w:rFonts w:ascii="Sylfaen" w:hAnsi="Sylfaen"/>
          <w:color w:val="000000"/>
          <w:lang w:val="en-GB"/>
        </w:rPr>
        <w:t xml:space="preserve"> </w:t>
      </w:r>
      <w:r w:rsidRPr="00DE0243">
        <w:rPr>
          <w:rFonts w:ascii="Sylfaen" w:hAnsi="Sylfaen"/>
          <w:color w:val="000000"/>
          <w:lang w:val="en-GB"/>
        </w:rPr>
        <w:t>Most of the jugs were recovered from Late Medieval architectural contexts and can therefore be sec</w:t>
      </w:r>
      <w:r w:rsidRPr="007B480A">
        <w:rPr>
          <w:rFonts w:ascii="Sylfaen" w:hAnsi="Sylfaen"/>
          <w:color w:val="000000"/>
          <w:lang w:val="en-GB"/>
        </w:rPr>
        <w:t xml:space="preserve">urely dated to the Late Medieval period. </w:t>
      </w:r>
    </w:p>
    <w:p w14:paraId="220BBE17" w14:textId="793292B8"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lastRenderedPageBreak/>
        <w:t>Within the tableware assemblage, glazed vessels constitute a particularly noteworthy category. Among them, a rectangular jar coated with a transparent glaze and several green-glazed vessels deserve special attention. Many of the latter are covered with a white slip beneath the glaze and decorated with incised or painted motifs, including bands, circles, wavy lines, and stylized vegetal ornaments. On the basis of their forms and decorative features, these vessels can be assigned to the medieval period.</w:t>
      </w:r>
    </w:p>
    <w:p w14:paraId="416B988D" w14:textId="6D1E4DCA" w:rsid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t xml:space="preserve">The </w:t>
      </w:r>
      <w:r>
        <w:rPr>
          <w:rFonts w:ascii="Sylfaen" w:hAnsi="Sylfaen"/>
          <w:color w:val="000000"/>
        </w:rPr>
        <w:t xml:space="preserve">tobacco </w:t>
      </w:r>
      <w:r w:rsidRPr="007B480A">
        <w:rPr>
          <w:rFonts w:ascii="Sylfaen" w:hAnsi="Sylfaen"/>
          <w:color w:val="000000"/>
          <w:lang w:val="en-GB"/>
        </w:rPr>
        <w:t>pipes found on the territory of the fortress also belong to the late 16th century artifacts.</w:t>
      </w:r>
    </w:p>
    <w:p w14:paraId="7DFDBC6F" w14:textId="78F746FF"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t>The excavations yielded a substantial quantity of architectural ceramics, including bricks and roof tiles. The evidence indicates that some of the later buildings within Khikhani Fortress were roofed with tiles, while the principal medieval towers of the fortress also appear to have been covered with tiled roofing.</w:t>
      </w:r>
    </w:p>
    <w:p w14:paraId="0A32FA72" w14:textId="65272D61"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t xml:space="preserve">Among the stone artifacts, several </w:t>
      </w:r>
      <w:proofErr w:type="spellStart"/>
      <w:r>
        <w:rPr>
          <w:rFonts w:ascii="Sylfaen" w:hAnsi="Sylfaen"/>
          <w:color w:val="000000"/>
          <w:lang w:val="en-GB"/>
        </w:rPr>
        <w:t>L</w:t>
      </w:r>
      <w:r w:rsidRPr="007B480A">
        <w:rPr>
          <w:rFonts w:ascii="Sylfaen" w:hAnsi="Sylfaen"/>
          <w:color w:val="000000"/>
          <w:lang w:val="en-GB"/>
        </w:rPr>
        <w:t>orfins</w:t>
      </w:r>
      <w:proofErr w:type="spellEnd"/>
      <w:r w:rsidRPr="007B480A">
        <w:rPr>
          <w:rFonts w:ascii="Sylfaen" w:hAnsi="Sylfaen"/>
          <w:color w:val="000000"/>
          <w:lang w:val="en-GB"/>
        </w:rPr>
        <w:t xml:space="preserve"> (stone mortars or grinding vessels) were identified. Most are fragmentary, although two examples survive in nearly complete condition.</w:t>
      </w:r>
    </w:p>
    <w:p w14:paraId="60BE8E4D" w14:textId="0F409805"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t xml:space="preserve">The assemblage of iron objects includes cannonballs, which are among the most significant finds. These were recovered in the vicinity of the church and the cellar containing 28 </w:t>
      </w:r>
      <w:r>
        <w:rPr>
          <w:rFonts w:ascii="Sylfaen" w:hAnsi="Sylfaen"/>
          <w:color w:val="000000"/>
          <w:lang w:val="en-GB"/>
        </w:rPr>
        <w:t>Q</w:t>
      </w:r>
      <w:r w:rsidRPr="007B480A">
        <w:rPr>
          <w:rFonts w:ascii="Sylfaen" w:hAnsi="Sylfaen"/>
          <w:color w:val="000000"/>
          <w:lang w:val="en-GB"/>
        </w:rPr>
        <w:t>vevris. Their presence is associated with the events of 1815, when Selim-Beg Khimshiashvili fortified himself within Khikhani Fortress and resisted the forces of Bab-Pasha P</w:t>
      </w:r>
      <w:r>
        <w:rPr>
          <w:rFonts w:ascii="Sylfaen" w:hAnsi="Sylfaen"/>
          <w:color w:val="000000"/>
          <w:lang w:val="en-GB"/>
        </w:rPr>
        <w:t>e</w:t>
      </w:r>
      <w:r w:rsidRPr="007B480A">
        <w:rPr>
          <w:rFonts w:ascii="Sylfaen" w:hAnsi="Sylfaen"/>
          <w:color w:val="000000"/>
          <w:lang w:val="en-GB"/>
        </w:rPr>
        <w:t>hl</w:t>
      </w:r>
      <w:r>
        <w:rPr>
          <w:rFonts w:ascii="Sylfaen" w:hAnsi="Sylfaen"/>
          <w:color w:val="000000"/>
          <w:lang w:val="en-GB"/>
        </w:rPr>
        <w:t>e</w:t>
      </w:r>
      <w:r w:rsidRPr="007B480A">
        <w:rPr>
          <w:rFonts w:ascii="Sylfaen" w:hAnsi="Sylfaen"/>
          <w:color w:val="000000"/>
          <w:lang w:val="en-GB"/>
        </w:rPr>
        <w:t>vi dispatched by the Ottoman Sultan.</w:t>
      </w:r>
    </w:p>
    <w:p w14:paraId="0966043B" w14:textId="1F3A5082"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r w:rsidRPr="007B480A">
        <w:rPr>
          <w:rFonts w:ascii="Sylfaen" w:hAnsi="Sylfaen"/>
          <w:color w:val="000000"/>
          <w:lang w:val="en-GB"/>
        </w:rPr>
        <w:t>A smaller quantity of glass artifacts was also recovered. Particularly notable is a twisted blue glass bracelet, which has close parallels among eleventh- to thirteenth-century glass bracelets known from other archaeological contexts. A fragmentary base of a greenish glass vessel belongs to the same chronological horizon. Both objects were discovered during the excavation of the 43-qvevri cellar and are consequently dated to the eleventh-thirteenth centuries.</w:t>
      </w:r>
    </w:p>
    <w:p w14:paraId="48F270B1" w14:textId="77777777" w:rsidR="007B480A" w:rsidRPr="007B480A" w:rsidRDefault="007B480A" w:rsidP="009A663E">
      <w:pPr>
        <w:pStyle w:val="NormalWeb"/>
        <w:spacing w:before="0" w:beforeAutospacing="0" w:after="0" w:afterAutospacing="0" w:line="360" w:lineRule="auto"/>
        <w:ind w:firstLine="720"/>
        <w:jc w:val="both"/>
        <w:rPr>
          <w:rFonts w:ascii="Sylfaen" w:hAnsi="Sylfaen"/>
          <w:color w:val="000000"/>
          <w:lang w:val="en-GB"/>
        </w:rPr>
      </w:pPr>
    </w:p>
    <w:p w14:paraId="65712F34" w14:textId="77777777" w:rsidR="007B480A" w:rsidRPr="007B480A" w:rsidRDefault="007B480A" w:rsidP="00695450">
      <w:pPr>
        <w:pStyle w:val="NormalWeb"/>
        <w:spacing w:before="0" w:beforeAutospacing="0" w:after="0" w:afterAutospacing="0" w:line="360" w:lineRule="auto"/>
        <w:rPr>
          <w:rFonts w:ascii="Sylfaen" w:hAnsi="Sylfaen"/>
          <w:b/>
          <w:bCs/>
          <w:color w:val="000000"/>
          <w:lang w:val="en-GB"/>
        </w:rPr>
      </w:pPr>
      <w:r w:rsidRPr="007B480A">
        <w:rPr>
          <w:rFonts w:ascii="Sylfaen" w:hAnsi="Sylfaen"/>
          <w:b/>
          <w:bCs/>
          <w:color w:val="000000"/>
          <w:lang w:val="en-GB"/>
        </w:rPr>
        <w:t>Bibliography:</w:t>
      </w:r>
    </w:p>
    <w:p w14:paraId="422CC79D" w14:textId="6E4041BE" w:rsidR="007B480A" w:rsidRPr="00695450" w:rsidRDefault="00426E02" w:rsidP="00695450">
      <w:pPr>
        <w:tabs>
          <w:tab w:val="left" w:pos="450"/>
        </w:tabs>
        <w:spacing w:after="0" w:line="360" w:lineRule="auto"/>
        <w:jc w:val="both"/>
        <w:rPr>
          <w:rFonts w:ascii="Sylfaen" w:hAnsi="Sylfaen"/>
          <w:sz w:val="24"/>
          <w:szCs w:val="24"/>
          <w:lang w:val="en-GB"/>
        </w:rPr>
      </w:pPr>
      <w:r>
        <w:rPr>
          <w:rFonts w:ascii="Sylfaen" w:hAnsi="Sylfaen"/>
          <w:sz w:val="24"/>
          <w:szCs w:val="24"/>
          <w:lang w:val="en-GB"/>
        </w:rPr>
        <w:t xml:space="preserve">1. </w:t>
      </w:r>
      <w:r w:rsidR="007B480A" w:rsidRPr="00426E02">
        <w:rPr>
          <w:rFonts w:ascii="Sylfaen" w:hAnsi="Sylfaen"/>
          <w:b/>
          <w:bCs/>
          <w:sz w:val="24"/>
          <w:szCs w:val="24"/>
          <w:lang w:val="en-GB"/>
        </w:rPr>
        <w:t>D. Mindorashvili</w:t>
      </w:r>
      <w:r w:rsidR="007B480A" w:rsidRPr="00695450">
        <w:rPr>
          <w:rFonts w:ascii="Sylfaen" w:hAnsi="Sylfaen"/>
          <w:sz w:val="24"/>
          <w:szCs w:val="24"/>
          <w:lang w:val="en-GB"/>
        </w:rPr>
        <w:t>, Khikhani Fortress, Batumi</w:t>
      </w:r>
      <w:r>
        <w:rPr>
          <w:rFonts w:ascii="Sylfaen" w:hAnsi="Sylfaen"/>
          <w:sz w:val="24"/>
          <w:szCs w:val="24"/>
          <w:lang w:val="en-GB"/>
        </w:rPr>
        <w:t>,</w:t>
      </w:r>
      <w:r w:rsidR="007B480A" w:rsidRPr="00695450">
        <w:rPr>
          <w:rFonts w:ascii="Sylfaen" w:hAnsi="Sylfaen"/>
          <w:sz w:val="24"/>
          <w:szCs w:val="24"/>
          <w:lang w:val="en-GB"/>
        </w:rPr>
        <w:t xml:space="preserve"> 2019 (</w:t>
      </w:r>
      <w:r w:rsidR="00695450" w:rsidRPr="00695450">
        <w:rPr>
          <w:rFonts w:ascii="Sylfaen" w:hAnsi="Sylfaen"/>
          <w:color w:val="4F6228" w:themeColor="accent3" w:themeShade="80"/>
          <w:sz w:val="24"/>
          <w:szCs w:val="24"/>
          <w:lang w:val="en-GB"/>
        </w:rPr>
        <w:t>pdf</w:t>
      </w:r>
      <w:r w:rsidR="007B480A" w:rsidRPr="00695450">
        <w:rPr>
          <w:rFonts w:ascii="Sylfaen" w:hAnsi="Sylfaen"/>
          <w:sz w:val="24"/>
          <w:szCs w:val="24"/>
          <w:lang w:val="en-GB"/>
        </w:rPr>
        <w:t>);</w:t>
      </w:r>
    </w:p>
    <w:p w14:paraId="4AF2B730" w14:textId="19D07C61" w:rsidR="007B480A" w:rsidRPr="00695450" w:rsidRDefault="00426E02" w:rsidP="00695450">
      <w:pPr>
        <w:tabs>
          <w:tab w:val="left" w:pos="450"/>
        </w:tabs>
        <w:spacing w:after="0" w:line="360" w:lineRule="auto"/>
        <w:jc w:val="both"/>
        <w:rPr>
          <w:rFonts w:ascii="Sylfaen" w:hAnsi="Sylfaen"/>
          <w:sz w:val="24"/>
          <w:szCs w:val="24"/>
          <w:lang w:val="en-GB"/>
        </w:rPr>
      </w:pPr>
      <w:r>
        <w:rPr>
          <w:rFonts w:ascii="Sylfaen" w:hAnsi="Sylfaen"/>
          <w:sz w:val="24"/>
          <w:szCs w:val="24"/>
          <w:lang w:val="en-GB"/>
        </w:rPr>
        <w:t xml:space="preserve">2. </w:t>
      </w:r>
      <w:r w:rsidR="007B480A" w:rsidRPr="00426E02">
        <w:rPr>
          <w:rFonts w:ascii="Sylfaen" w:hAnsi="Sylfaen"/>
          <w:b/>
          <w:bCs/>
          <w:sz w:val="24"/>
          <w:szCs w:val="24"/>
          <w:lang w:val="en-GB"/>
        </w:rPr>
        <w:t>A. Kakhidze, Sh. Mamuladze</w:t>
      </w:r>
      <w:r w:rsidR="007B480A" w:rsidRPr="00695450">
        <w:rPr>
          <w:rFonts w:ascii="Sylfaen" w:hAnsi="Sylfaen"/>
          <w:sz w:val="24"/>
          <w:szCs w:val="24"/>
          <w:lang w:val="en-GB"/>
        </w:rPr>
        <w:t>, Archaeological Monuments of Ajara, Tbilisi</w:t>
      </w:r>
      <w:r>
        <w:rPr>
          <w:rFonts w:ascii="Sylfaen" w:hAnsi="Sylfaen"/>
          <w:sz w:val="24"/>
          <w:szCs w:val="24"/>
          <w:lang w:val="en-GB"/>
        </w:rPr>
        <w:t>,</w:t>
      </w:r>
      <w:r w:rsidR="007B480A" w:rsidRPr="00695450">
        <w:rPr>
          <w:rFonts w:ascii="Sylfaen" w:hAnsi="Sylfaen"/>
          <w:sz w:val="24"/>
          <w:szCs w:val="24"/>
          <w:lang w:val="en-GB"/>
        </w:rPr>
        <w:t xml:space="preserve"> 2016 (</w:t>
      </w:r>
      <w:r w:rsidR="00695450" w:rsidRPr="00695450">
        <w:rPr>
          <w:rFonts w:ascii="Sylfaen" w:hAnsi="Sylfaen"/>
          <w:color w:val="4F6228" w:themeColor="accent3" w:themeShade="80"/>
          <w:sz w:val="24"/>
          <w:szCs w:val="24"/>
          <w:lang w:val="en-GB"/>
        </w:rPr>
        <w:t>pdf</w:t>
      </w:r>
      <w:r w:rsidR="007B480A" w:rsidRPr="00695450">
        <w:rPr>
          <w:rFonts w:ascii="Sylfaen" w:hAnsi="Sylfaen"/>
          <w:sz w:val="24"/>
          <w:szCs w:val="24"/>
          <w:lang w:val="en-GB"/>
        </w:rPr>
        <w:t>);</w:t>
      </w:r>
    </w:p>
    <w:p w14:paraId="295C1673" w14:textId="2A2DDDAC" w:rsidR="007B480A" w:rsidRPr="00695450" w:rsidRDefault="00426E02" w:rsidP="00695450">
      <w:pPr>
        <w:tabs>
          <w:tab w:val="left" w:pos="450"/>
        </w:tabs>
        <w:spacing w:after="0" w:line="360" w:lineRule="auto"/>
        <w:jc w:val="both"/>
        <w:rPr>
          <w:rFonts w:ascii="Sylfaen" w:hAnsi="Sylfaen"/>
          <w:sz w:val="24"/>
          <w:szCs w:val="24"/>
          <w:lang w:val="en-GB"/>
        </w:rPr>
      </w:pPr>
      <w:r>
        <w:rPr>
          <w:rFonts w:ascii="Sylfaen" w:hAnsi="Sylfaen"/>
          <w:color w:val="000000"/>
          <w:sz w:val="24"/>
          <w:szCs w:val="24"/>
          <w:lang w:val="en-GB"/>
        </w:rPr>
        <w:lastRenderedPageBreak/>
        <w:t xml:space="preserve">3. </w:t>
      </w:r>
      <w:r w:rsidR="007B480A" w:rsidRPr="00426E02">
        <w:rPr>
          <w:rFonts w:ascii="Sylfaen" w:hAnsi="Sylfaen"/>
          <w:b/>
          <w:bCs/>
          <w:color w:val="000000"/>
          <w:sz w:val="24"/>
          <w:szCs w:val="24"/>
          <w:lang w:val="en-GB"/>
        </w:rPr>
        <w:t>Kh. Akhvlediani</w:t>
      </w:r>
      <w:r w:rsidR="007B480A" w:rsidRPr="00695450">
        <w:rPr>
          <w:rFonts w:ascii="Sylfaen" w:hAnsi="Sylfaen"/>
          <w:color w:val="000000"/>
          <w:sz w:val="24"/>
          <w:szCs w:val="24"/>
          <w:lang w:val="en-GB"/>
        </w:rPr>
        <w:t xml:space="preserve">, For the History of Khikhani Fortress and Church </w:t>
      </w:r>
      <w:r w:rsidR="00EE531C">
        <w:rPr>
          <w:rFonts w:ascii="Sylfaen" w:hAnsi="Sylfaen"/>
          <w:color w:val="000000"/>
          <w:sz w:val="24"/>
          <w:szCs w:val="24"/>
          <w:lang w:val="en-GB"/>
        </w:rPr>
        <w:t>–</w:t>
      </w:r>
      <w:r w:rsidR="007B480A" w:rsidRPr="00695450">
        <w:rPr>
          <w:rFonts w:ascii="Sylfaen" w:hAnsi="Sylfaen"/>
          <w:color w:val="000000"/>
          <w:sz w:val="24"/>
          <w:szCs w:val="24"/>
          <w:lang w:val="en-GB"/>
        </w:rPr>
        <w:t xml:space="preserve"> </w:t>
      </w:r>
      <w:r w:rsidR="00EE531C">
        <w:rPr>
          <w:rFonts w:ascii="Sylfaen" w:hAnsi="Sylfaen"/>
          <w:color w:val="000000"/>
          <w:sz w:val="24"/>
          <w:szCs w:val="24"/>
          <w:lang w:val="en-GB"/>
        </w:rPr>
        <w:t>Edited volume</w:t>
      </w:r>
      <w:r w:rsidR="007B480A" w:rsidRPr="00695450">
        <w:rPr>
          <w:rFonts w:ascii="Sylfaen" w:hAnsi="Sylfaen"/>
          <w:color w:val="000000"/>
          <w:sz w:val="24"/>
          <w:szCs w:val="24"/>
          <w:lang w:val="en-GB"/>
        </w:rPr>
        <w:t>: Monuments of Georgian Material Culture in Ajara, Batumi 1955, pp. 29-84;</w:t>
      </w:r>
    </w:p>
    <w:p w14:paraId="080E9181" w14:textId="1658DB20" w:rsidR="007B480A" w:rsidRPr="00695450" w:rsidRDefault="00426E02" w:rsidP="00695450">
      <w:pPr>
        <w:tabs>
          <w:tab w:val="left" w:pos="450"/>
        </w:tabs>
        <w:spacing w:after="0" w:line="360" w:lineRule="auto"/>
        <w:jc w:val="both"/>
        <w:rPr>
          <w:rFonts w:ascii="Sylfaen" w:hAnsi="Sylfaen"/>
          <w:sz w:val="24"/>
          <w:szCs w:val="24"/>
          <w:lang w:val="en-GB"/>
        </w:rPr>
      </w:pPr>
      <w:r>
        <w:rPr>
          <w:rFonts w:ascii="Sylfaen" w:hAnsi="Sylfaen"/>
          <w:color w:val="000000"/>
          <w:sz w:val="24"/>
          <w:szCs w:val="24"/>
          <w:lang w:val="en-GB"/>
        </w:rPr>
        <w:t xml:space="preserve">4. </w:t>
      </w:r>
      <w:r w:rsidR="007B480A" w:rsidRPr="00426E02">
        <w:rPr>
          <w:rFonts w:ascii="Sylfaen" w:hAnsi="Sylfaen"/>
          <w:b/>
          <w:bCs/>
          <w:color w:val="000000"/>
          <w:sz w:val="24"/>
          <w:szCs w:val="24"/>
          <w:lang w:val="en-GB"/>
        </w:rPr>
        <w:t>Sh. Mamuladze</w:t>
      </w:r>
      <w:r w:rsidR="007B480A" w:rsidRPr="00695450">
        <w:rPr>
          <w:rFonts w:ascii="Sylfaen" w:hAnsi="Sylfaen"/>
          <w:color w:val="000000"/>
          <w:sz w:val="24"/>
          <w:szCs w:val="24"/>
          <w:lang w:val="en-GB"/>
        </w:rPr>
        <w:t>, Medieval Archaeological Monuments of the Ajarian Gorge, Batumi</w:t>
      </w:r>
      <w:r>
        <w:rPr>
          <w:rFonts w:ascii="Sylfaen" w:hAnsi="Sylfaen"/>
          <w:color w:val="000000"/>
          <w:sz w:val="24"/>
          <w:szCs w:val="24"/>
          <w:lang w:val="en-GB"/>
        </w:rPr>
        <w:t>,</w:t>
      </w:r>
      <w:r w:rsidR="007B480A" w:rsidRPr="00695450">
        <w:rPr>
          <w:rFonts w:ascii="Sylfaen" w:hAnsi="Sylfaen"/>
          <w:color w:val="000000"/>
          <w:sz w:val="24"/>
          <w:szCs w:val="24"/>
          <w:lang w:val="en-GB"/>
        </w:rPr>
        <w:t xml:space="preserve"> 1993</w:t>
      </w:r>
    </w:p>
    <w:p w14:paraId="7ED4E597" w14:textId="204979AD" w:rsidR="007B480A" w:rsidRPr="00695450" w:rsidRDefault="00426E02" w:rsidP="00695450">
      <w:pPr>
        <w:tabs>
          <w:tab w:val="left" w:pos="450"/>
        </w:tabs>
        <w:spacing w:after="0" w:line="360" w:lineRule="auto"/>
        <w:jc w:val="both"/>
        <w:rPr>
          <w:rFonts w:ascii="Sylfaen" w:hAnsi="Sylfaen"/>
          <w:sz w:val="24"/>
          <w:szCs w:val="24"/>
          <w:lang w:val="en-GB"/>
        </w:rPr>
      </w:pPr>
      <w:r>
        <w:rPr>
          <w:rFonts w:ascii="Sylfaen" w:hAnsi="Sylfaen"/>
          <w:color w:val="000000"/>
          <w:sz w:val="24"/>
          <w:szCs w:val="24"/>
          <w:lang w:val="en-GB"/>
        </w:rPr>
        <w:t xml:space="preserve">5. </w:t>
      </w:r>
      <w:r w:rsidR="007B480A" w:rsidRPr="00426E02">
        <w:rPr>
          <w:rFonts w:ascii="Sylfaen" w:hAnsi="Sylfaen"/>
          <w:b/>
          <w:bCs/>
          <w:color w:val="000000"/>
          <w:sz w:val="24"/>
          <w:szCs w:val="24"/>
          <w:lang w:val="en-GB"/>
        </w:rPr>
        <w:t xml:space="preserve">T. </w:t>
      </w:r>
      <w:proofErr w:type="spellStart"/>
      <w:r w:rsidR="007B480A" w:rsidRPr="00426E02">
        <w:rPr>
          <w:rFonts w:ascii="Sylfaen" w:hAnsi="Sylfaen"/>
          <w:b/>
          <w:bCs/>
          <w:color w:val="000000"/>
          <w:sz w:val="24"/>
          <w:szCs w:val="24"/>
          <w:lang w:val="en-GB"/>
        </w:rPr>
        <w:t>Sakhokia</w:t>
      </w:r>
      <w:proofErr w:type="spellEnd"/>
      <w:r w:rsidR="007B480A" w:rsidRPr="00695450">
        <w:rPr>
          <w:rFonts w:ascii="Sylfaen" w:hAnsi="Sylfaen"/>
          <w:color w:val="000000"/>
          <w:sz w:val="24"/>
          <w:szCs w:val="24"/>
          <w:lang w:val="en-GB"/>
        </w:rPr>
        <w:t>, Travels, Tbilisi</w:t>
      </w:r>
      <w:r>
        <w:rPr>
          <w:rFonts w:ascii="Sylfaen" w:hAnsi="Sylfaen"/>
          <w:color w:val="000000"/>
          <w:sz w:val="24"/>
          <w:szCs w:val="24"/>
          <w:lang w:val="en-GB"/>
        </w:rPr>
        <w:t>,</w:t>
      </w:r>
      <w:r w:rsidR="007B480A" w:rsidRPr="00695450">
        <w:rPr>
          <w:rFonts w:ascii="Sylfaen" w:hAnsi="Sylfaen"/>
          <w:color w:val="000000"/>
          <w:sz w:val="24"/>
          <w:szCs w:val="24"/>
          <w:lang w:val="en-GB"/>
        </w:rPr>
        <w:t xml:space="preserve"> 1985</w:t>
      </w:r>
    </w:p>
    <w:p w14:paraId="28FE574B" w14:textId="77777777" w:rsidR="009A663E" w:rsidRDefault="009A663E" w:rsidP="009A663E">
      <w:pPr>
        <w:pStyle w:val="NormalWeb"/>
        <w:spacing w:before="0" w:beforeAutospacing="0" w:after="0" w:afterAutospacing="0" w:line="360" w:lineRule="auto"/>
        <w:ind w:firstLine="720"/>
        <w:jc w:val="both"/>
        <w:rPr>
          <w:rFonts w:ascii="Sylfaen" w:hAnsi="Sylfaen"/>
          <w:b/>
          <w:bCs/>
          <w:color w:val="000000"/>
          <w:lang w:val="en-GB"/>
        </w:rPr>
      </w:pPr>
    </w:p>
    <w:p w14:paraId="23AFC67E" w14:textId="321578DF" w:rsidR="007B480A" w:rsidRPr="007B480A" w:rsidRDefault="00695450" w:rsidP="009A663E">
      <w:pPr>
        <w:pStyle w:val="NormalWeb"/>
        <w:spacing w:before="0" w:beforeAutospacing="0" w:after="0" w:afterAutospacing="0" w:line="360" w:lineRule="auto"/>
        <w:ind w:firstLine="720"/>
        <w:jc w:val="both"/>
        <w:rPr>
          <w:rFonts w:ascii="Sylfaen" w:hAnsi="Sylfaen"/>
          <w:color w:val="000000"/>
          <w:lang w:val="en-GB"/>
        </w:rPr>
      </w:pPr>
      <w:r w:rsidRPr="0018501B">
        <w:rPr>
          <w:rStyle w:val="Strong"/>
          <w:rFonts w:ascii="Sylfaen" w:hAnsi="Sylfaen"/>
          <w:color w:val="000000"/>
          <w:lang w:val="en-GB"/>
        </w:rPr>
        <w:t>Passport compiled by</w:t>
      </w:r>
      <w:r w:rsidR="007B480A" w:rsidRPr="007B480A">
        <w:rPr>
          <w:rFonts w:ascii="Sylfaen" w:hAnsi="Sylfaen"/>
          <w:color w:val="000000"/>
          <w:lang w:val="en-GB"/>
        </w:rPr>
        <w:t xml:space="preserve">: Kakhaber Kamadadze, Academic Doctor of Archaeology, Assistant Professor of Batumi Shota Rustaveli State University; Researcher at the Shota Mamuladze Scientific-Research </w:t>
      </w:r>
      <w:r w:rsidRPr="007B480A">
        <w:rPr>
          <w:rFonts w:ascii="Sylfaen" w:hAnsi="Sylfaen"/>
          <w:color w:val="000000"/>
          <w:lang w:val="en-GB"/>
        </w:rPr>
        <w:t>Centre</w:t>
      </w:r>
      <w:r w:rsidR="007B480A" w:rsidRPr="007B480A">
        <w:rPr>
          <w:rFonts w:ascii="Sylfaen" w:hAnsi="Sylfaen"/>
          <w:color w:val="000000"/>
          <w:lang w:val="en-GB"/>
        </w:rPr>
        <w:t xml:space="preserve"> of the Ajara Cultural Heritage Protection Agency.</w:t>
      </w:r>
    </w:p>
    <w:p w14:paraId="3BB2A757" w14:textId="77777777" w:rsidR="007B480A" w:rsidRPr="007B480A" w:rsidRDefault="007B480A" w:rsidP="007B480A">
      <w:pPr>
        <w:pStyle w:val="NormalWeb"/>
        <w:jc w:val="both"/>
        <w:rPr>
          <w:rFonts w:ascii="Sylfaen" w:hAnsi="Sylfaen"/>
          <w:color w:val="000000"/>
          <w:lang w:val="en-GB"/>
        </w:rPr>
      </w:pPr>
    </w:p>
    <w:p w14:paraId="7D6B2C6B" w14:textId="77777777" w:rsidR="00DE0243" w:rsidRPr="00DE0243" w:rsidRDefault="00DE0243" w:rsidP="00DE0243">
      <w:pPr>
        <w:pStyle w:val="NormalWeb"/>
        <w:jc w:val="both"/>
        <w:rPr>
          <w:rFonts w:ascii="Sylfaen" w:hAnsi="Sylfaen"/>
          <w:color w:val="000000"/>
          <w:lang w:val="en-GB"/>
        </w:rPr>
      </w:pPr>
    </w:p>
    <w:p w14:paraId="29FA13F6" w14:textId="77777777" w:rsidR="00DE0243" w:rsidRPr="00DE0243" w:rsidRDefault="00DE0243" w:rsidP="00BC2118">
      <w:pPr>
        <w:pStyle w:val="Heading3"/>
        <w:jc w:val="both"/>
        <w:rPr>
          <w:rFonts w:ascii="Sylfaen" w:hAnsi="Sylfaen"/>
          <w:b w:val="0"/>
          <w:bCs w:val="0"/>
          <w:color w:val="000000"/>
          <w:sz w:val="24"/>
          <w:szCs w:val="24"/>
          <w:lang w:val="en-GB"/>
        </w:rPr>
      </w:pPr>
    </w:p>
    <w:p w14:paraId="2EC882F9" w14:textId="77777777" w:rsidR="00BC2118" w:rsidRPr="009B2CB8" w:rsidRDefault="00BC2118" w:rsidP="00BC2118">
      <w:pPr>
        <w:spacing w:before="100" w:beforeAutospacing="1" w:after="100" w:afterAutospacing="1" w:line="240" w:lineRule="auto"/>
        <w:jc w:val="both"/>
        <w:rPr>
          <w:rFonts w:ascii="Sylfaen" w:eastAsia="Times New Roman" w:hAnsi="Sylfaen" w:cs="Times New Roman"/>
          <w:color w:val="000000"/>
          <w:sz w:val="24"/>
          <w:szCs w:val="24"/>
          <w:lang w:val="en-GB"/>
        </w:rPr>
      </w:pPr>
    </w:p>
    <w:p w14:paraId="5A65F683" w14:textId="77777777" w:rsidR="009B2CB8" w:rsidRPr="00DE0243" w:rsidRDefault="009B2CB8" w:rsidP="00BC2118">
      <w:pPr>
        <w:spacing w:after="0" w:line="240" w:lineRule="auto"/>
        <w:ind w:firstLine="709"/>
        <w:contextualSpacing/>
        <w:jc w:val="both"/>
        <w:rPr>
          <w:rFonts w:ascii="Sylfaen" w:hAnsi="Sylfaen"/>
          <w:sz w:val="24"/>
          <w:szCs w:val="24"/>
          <w:lang w:val="en-GB"/>
        </w:rPr>
      </w:pPr>
    </w:p>
    <w:p w14:paraId="193547D6" w14:textId="77777777" w:rsidR="00F309B7" w:rsidRPr="00DE0243" w:rsidRDefault="00F309B7" w:rsidP="00F309B7">
      <w:pPr>
        <w:spacing w:after="0"/>
        <w:ind w:firstLine="709"/>
        <w:contextualSpacing/>
        <w:jc w:val="both"/>
        <w:rPr>
          <w:rFonts w:ascii="Sylfaen" w:hAnsi="Sylfaen"/>
          <w:sz w:val="24"/>
          <w:szCs w:val="24"/>
          <w:lang w:val="en-GB"/>
        </w:rPr>
      </w:pPr>
    </w:p>
    <w:sectPr w:rsidR="00F309B7" w:rsidRPr="00DE0243"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5519"/>
    <w:multiLevelType w:val="hybridMultilevel"/>
    <w:tmpl w:val="09F45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660212"/>
    <w:multiLevelType w:val="hybridMultilevel"/>
    <w:tmpl w:val="13109850"/>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868030528">
    <w:abstractNumId w:val="0"/>
  </w:num>
  <w:num w:numId="2" w16cid:durableId="1729651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DB4"/>
    <w:rsid w:val="00003D23"/>
    <w:rsid w:val="000049B5"/>
    <w:rsid w:val="0003019F"/>
    <w:rsid w:val="000375F2"/>
    <w:rsid w:val="00061F35"/>
    <w:rsid w:val="000B101D"/>
    <w:rsid w:val="000D0475"/>
    <w:rsid w:val="000D40E9"/>
    <w:rsid w:val="000D5206"/>
    <w:rsid w:val="00101BFC"/>
    <w:rsid w:val="00117AE5"/>
    <w:rsid w:val="00117B5D"/>
    <w:rsid w:val="00156A60"/>
    <w:rsid w:val="00157359"/>
    <w:rsid w:val="00165E3E"/>
    <w:rsid w:val="001A1184"/>
    <w:rsid w:val="001D49BE"/>
    <w:rsid w:val="001F6B88"/>
    <w:rsid w:val="00210208"/>
    <w:rsid w:val="00225563"/>
    <w:rsid w:val="0024350E"/>
    <w:rsid w:val="0025541B"/>
    <w:rsid w:val="00263B90"/>
    <w:rsid w:val="00266701"/>
    <w:rsid w:val="0027075B"/>
    <w:rsid w:val="00291020"/>
    <w:rsid w:val="002A1661"/>
    <w:rsid w:val="002B081C"/>
    <w:rsid w:val="002B0B0D"/>
    <w:rsid w:val="002E0F26"/>
    <w:rsid w:val="002F1B2E"/>
    <w:rsid w:val="00307935"/>
    <w:rsid w:val="00316080"/>
    <w:rsid w:val="00317B1B"/>
    <w:rsid w:val="003363B1"/>
    <w:rsid w:val="00342F50"/>
    <w:rsid w:val="00344F3F"/>
    <w:rsid w:val="003625F9"/>
    <w:rsid w:val="00375208"/>
    <w:rsid w:val="00386CAB"/>
    <w:rsid w:val="00394685"/>
    <w:rsid w:val="003A076A"/>
    <w:rsid w:val="003B42F5"/>
    <w:rsid w:val="003C3BF4"/>
    <w:rsid w:val="003D3565"/>
    <w:rsid w:val="00417B91"/>
    <w:rsid w:val="00426E02"/>
    <w:rsid w:val="004A14F5"/>
    <w:rsid w:val="004D061C"/>
    <w:rsid w:val="004F2B0D"/>
    <w:rsid w:val="0051526B"/>
    <w:rsid w:val="0052498B"/>
    <w:rsid w:val="005279C8"/>
    <w:rsid w:val="00560647"/>
    <w:rsid w:val="00577397"/>
    <w:rsid w:val="0059245E"/>
    <w:rsid w:val="0059264F"/>
    <w:rsid w:val="005A0873"/>
    <w:rsid w:val="005E332B"/>
    <w:rsid w:val="005F060E"/>
    <w:rsid w:val="005F5217"/>
    <w:rsid w:val="006032D6"/>
    <w:rsid w:val="006171B7"/>
    <w:rsid w:val="00640E3D"/>
    <w:rsid w:val="00642FCE"/>
    <w:rsid w:val="006457FB"/>
    <w:rsid w:val="00651CFA"/>
    <w:rsid w:val="006555D2"/>
    <w:rsid w:val="00674506"/>
    <w:rsid w:val="006752F7"/>
    <w:rsid w:val="006844E1"/>
    <w:rsid w:val="00695450"/>
    <w:rsid w:val="006A1C97"/>
    <w:rsid w:val="006B4605"/>
    <w:rsid w:val="006B6D48"/>
    <w:rsid w:val="006C0B77"/>
    <w:rsid w:val="006D472F"/>
    <w:rsid w:val="006E1ABC"/>
    <w:rsid w:val="006F305E"/>
    <w:rsid w:val="0072030E"/>
    <w:rsid w:val="00732F8C"/>
    <w:rsid w:val="0077324A"/>
    <w:rsid w:val="00785F72"/>
    <w:rsid w:val="007A2BAD"/>
    <w:rsid w:val="007A41EE"/>
    <w:rsid w:val="007B480A"/>
    <w:rsid w:val="007C519F"/>
    <w:rsid w:val="007D29CF"/>
    <w:rsid w:val="007F4BBB"/>
    <w:rsid w:val="008242FF"/>
    <w:rsid w:val="00855961"/>
    <w:rsid w:val="008652B1"/>
    <w:rsid w:val="00870751"/>
    <w:rsid w:val="0089169C"/>
    <w:rsid w:val="0089326C"/>
    <w:rsid w:val="008A5C63"/>
    <w:rsid w:val="008B0DB4"/>
    <w:rsid w:val="008E4516"/>
    <w:rsid w:val="00911A82"/>
    <w:rsid w:val="00922C48"/>
    <w:rsid w:val="00935112"/>
    <w:rsid w:val="009A663E"/>
    <w:rsid w:val="009B2CB8"/>
    <w:rsid w:val="009F5F13"/>
    <w:rsid w:val="00A256BD"/>
    <w:rsid w:val="00A32AFE"/>
    <w:rsid w:val="00A363A4"/>
    <w:rsid w:val="00A43184"/>
    <w:rsid w:val="00A52F62"/>
    <w:rsid w:val="00A60450"/>
    <w:rsid w:val="00AB75F5"/>
    <w:rsid w:val="00AB7D09"/>
    <w:rsid w:val="00AC302C"/>
    <w:rsid w:val="00AE4649"/>
    <w:rsid w:val="00B3603A"/>
    <w:rsid w:val="00B41ED9"/>
    <w:rsid w:val="00B71F2C"/>
    <w:rsid w:val="00B84BC7"/>
    <w:rsid w:val="00B915B7"/>
    <w:rsid w:val="00BB2C01"/>
    <w:rsid w:val="00BC2118"/>
    <w:rsid w:val="00BD288D"/>
    <w:rsid w:val="00BD4705"/>
    <w:rsid w:val="00C30294"/>
    <w:rsid w:val="00C4015A"/>
    <w:rsid w:val="00C51EAC"/>
    <w:rsid w:val="00C7228F"/>
    <w:rsid w:val="00CD670F"/>
    <w:rsid w:val="00CE07FC"/>
    <w:rsid w:val="00CE3FE4"/>
    <w:rsid w:val="00CE6FE9"/>
    <w:rsid w:val="00CE7827"/>
    <w:rsid w:val="00CF0831"/>
    <w:rsid w:val="00D21163"/>
    <w:rsid w:val="00D30FF8"/>
    <w:rsid w:val="00D45BA6"/>
    <w:rsid w:val="00D90E81"/>
    <w:rsid w:val="00DB2D5F"/>
    <w:rsid w:val="00DB6E19"/>
    <w:rsid w:val="00DE0243"/>
    <w:rsid w:val="00DF428E"/>
    <w:rsid w:val="00E16638"/>
    <w:rsid w:val="00E313EB"/>
    <w:rsid w:val="00E44026"/>
    <w:rsid w:val="00E61EC0"/>
    <w:rsid w:val="00E67270"/>
    <w:rsid w:val="00E70552"/>
    <w:rsid w:val="00E710CF"/>
    <w:rsid w:val="00E832FA"/>
    <w:rsid w:val="00EA59DF"/>
    <w:rsid w:val="00ED6D71"/>
    <w:rsid w:val="00EE4070"/>
    <w:rsid w:val="00EE531C"/>
    <w:rsid w:val="00EE5A82"/>
    <w:rsid w:val="00F12C76"/>
    <w:rsid w:val="00F309B7"/>
    <w:rsid w:val="00F72F52"/>
    <w:rsid w:val="00FA7822"/>
    <w:rsid w:val="00FB2042"/>
    <w:rsid w:val="00FB22F7"/>
    <w:rsid w:val="00FC4C15"/>
    <w:rsid w:val="00FF68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38BF"/>
  <w15:docId w15:val="{1A4D0DF9-6E87-4CCC-B632-51984EDA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9C8"/>
  </w:style>
  <w:style w:type="paragraph" w:styleId="Heading3">
    <w:name w:val="heading 3"/>
    <w:basedOn w:val="Normal"/>
    <w:link w:val="Heading3Char"/>
    <w:uiPriority w:val="9"/>
    <w:qFormat/>
    <w:rsid w:val="009B2CB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9C8"/>
    <w:pPr>
      <w:ind w:left="720"/>
      <w:contextualSpacing/>
    </w:pPr>
  </w:style>
  <w:style w:type="character" w:styleId="Hyperlink">
    <w:name w:val="Hyperlink"/>
    <w:basedOn w:val="DefaultParagraphFont"/>
    <w:uiPriority w:val="99"/>
    <w:unhideWhenUsed/>
    <w:rsid w:val="00CD670F"/>
    <w:rPr>
      <w:color w:val="0000FF" w:themeColor="hyperlink"/>
      <w:u w:val="single"/>
    </w:rPr>
  </w:style>
  <w:style w:type="character" w:customStyle="1" w:styleId="UnresolvedMention1">
    <w:name w:val="Unresolved Mention1"/>
    <w:basedOn w:val="DefaultParagraphFont"/>
    <w:uiPriority w:val="99"/>
    <w:semiHidden/>
    <w:unhideWhenUsed/>
    <w:rsid w:val="00CD670F"/>
    <w:rPr>
      <w:color w:val="605E5C"/>
      <w:shd w:val="clear" w:color="auto" w:fill="E1DFDD"/>
    </w:rPr>
  </w:style>
  <w:style w:type="character" w:styleId="UnresolvedMention">
    <w:name w:val="Unresolved Mention"/>
    <w:basedOn w:val="DefaultParagraphFont"/>
    <w:uiPriority w:val="99"/>
    <w:semiHidden/>
    <w:unhideWhenUsed/>
    <w:rsid w:val="00E61EC0"/>
    <w:rPr>
      <w:color w:val="605E5C"/>
      <w:shd w:val="clear" w:color="auto" w:fill="E1DFDD"/>
    </w:rPr>
  </w:style>
  <w:style w:type="paragraph" w:styleId="NormalWeb">
    <w:name w:val="Normal (Web)"/>
    <w:basedOn w:val="Normal"/>
    <w:uiPriority w:val="99"/>
    <w:semiHidden/>
    <w:unhideWhenUsed/>
    <w:rsid w:val="00F309B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9B2CB8"/>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9B2CB8"/>
  </w:style>
  <w:style w:type="character" w:styleId="Emphasis">
    <w:name w:val="Emphasis"/>
    <w:basedOn w:val="DefaultParagraphFont"/>
    <w:uiPriority w:val="20"/>
    <w:qFormat/>
    <w:rsid w:val="009B2CB8"/>
    <w:rPr>
      <w:i/>
      <w:iCs/>
    </w:rPr>
  </w:style>
  <w:style w:type="character" w:styleId="Strong">
    <w:name w:val="Strong"/>
    <w:basedOn w:val="DefaultParagraphFont"/>
    <w:uiPriority w:val="22"/>
    <w:qFormat/>
    <w:rsid w:val="00BC21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95657">
      <w:bodyDiv w:val="1"/>
      <w:marLeft w:val="0"/>
      <w:marRight w:val="0"/>
      <w:marTop w:val="0"/>
      <w:marBottom w:val="0"/>
      <w:divBdr>
        <w:top w:val="none" w:sz="0" w:space="0" w:color="auto"/>
        <w:left w:val="none" w:sz="0" w:space="0" w:color="auto"/>
        <w:bottom w:val="none" w:sz="0" w:space="0" w:color="auto"/>
        <w:right w:val="none" w:sz="0" w:space="0" w:color="auto"/>
      </w:divBdr>
    </w:div>
    <w:div w:id="307441607">
      <w:bodyDiv w:val="1"/>
      <w:marLeft w:val="0"/>
      <w:marRight w:val="0"/>
      <w:marTop w:val="0"/>
      <w:marBottom w:val="0"/>
      <w:divBdr>
        <w:top w:val="none" w:sz="0" w:space="0" w:color="auto"/>
        <w:left w:val="none" w:sz="0" w:space="0" w:color="auto"/>
        <w:bottom w:val="none" w:sz="0" w:space="0" w:color="auto"/>
        <w:right w:val="none" w:sz="0" w:space="0" w:color="auto"/>
      </w:divBdr>
    </w:div>
    <w:div w:id="440036035">
      <w:bodyDiv w:val="1"/>
      <w:marLeft w:val="0"/>
      <w:marRight w:val="0"/>
      <w:marTop w:val="0"/>
      <w:marBottom w:val="0"/>
      <w:divBdr>
        <w:top w:val="none" w:sz="0" w:space="0" w:color="auto"/>
        <w:left w:val="none" w:sz="0" w:space="0" w:color="auto"/>
        <w:bottom w:val="none" w:sz="0" w:space="0" w:color="auto"/>
        <w:right w:val="none" w:sz="0" w:space="0" w:color="auto"/>
      </w:divBdr>
    </w:div>
    <w:div w:id="1628464820">
      <w:bodyDiv w:val="1"/>
      <w:marLeft w:val="0"/>
      <w:marRight w:val="0"/>
      <w:marTop w:val="0"/>
      <w:marBottom w:val="0"/>
      <w:divBdr>
        <w:top w:val="none" w:sz="0" w:space="0" w:color="auto"/>
        <w:left w:val="none" w:sz="0" w:space="0" w:color="auto"/>
        <w:bottom w:val="none" w:sz="0" w:space="0" w:color="auto"/>
        <w:right w:val="none" w:sz="0" w:space="0" w:color="auto"/>
      </w:divBdr>
    </w:div>
    <w:div w:id="1666860285">
      <w:bodyDiv w:val="1"/>
      <w:marLeft w:val="0"/>
      <w:marRight w:val="0"/>
      <w:marTop w:val="0"/>
      <w:marBottom w:val="0"/>
      <w:divBdr>
        <w:top w:val="none" w:sz="0" w:space="0" w:color="auto"/>
        <w:left w:val="none" w:sz="0" w:space="0" w:color="auto"/>
        <w:bottom w:val="none" w:sz="0" w:space="0" w:color="auto"/>
        <w:right w:val="none" w:sz="0" w:space="0" w:color="auto"/>
      </w:divBdr>
    </w:div>
    <w:div w:id="172340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1609</TotalTime>
  <Pages>1</Pages>
  <Words>2320</Words>
  <Characters>13225</Characters>
  <Application>Microsoft Office Word</Application>
  <DocSecurity>0</DocSecurity>
  <Lines>110</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77</cp:revision>
  <dcterms:created xsi:type="dcterms:W3CDTF">2024-09-22T18:34:00Z</dcterms:created>
  <dcterms:modified xsi:type="dcterms:W3CDTF">2026-07-28T09:13:00Z</dcterms:modified>
</cp:coreProperties>
</file>