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86F06" w14:textId="77777777" w:rsidR="00FF11C8" w:rsidRPr="00827C5E" w:rsidRDefault="00FF11C8" w:rsidP="00FF11C8">
      <w:pPr>
        <w:jc w:val="center"/>
        <w:rPr>
          <w:rFonts w:ascii="Sylfaen" w:hAnsi="Sylfaen"/>
          <w:b/>
          <w:bCs/>
        </w:rPr>
      </w:pPr>
      <w:r w:rsidRPr="00827C5E">
        <w:rPr>
          <w:rFonts w:ascii="Sylfaen" w:hAnsi="Sylfaen"/>
          <w:b/>
          <w:bCs/>
        </w:rPr>
        <w:t>Passport of</w:t>
      </w:r>
      <w:r w:rsidRPr="00827C5E">
        <w:rPr>
          <w:rFonts w:ascii="Sylfaen" w:hAnsi="Sylfaen"/>
          <w:b/>
          <w:bCs/>
          <w:lang w:val="ka-GE"/>
        </w:rPr>
        <w:t xml:space="preserve"> </w:t>
      </w:r>
      <w:r w:rsidRPr="00827C5E">
        <w:rPr>
          <w:rFonts w:ascii="Sylfaen" w:hAnsi="Sylfaen"/>
          <w:b/>
          <w:bCs/>
        </w:rPr>
        <w:t xml:space="preserve">Archaeological Monument </w:t>
      </w:r>
    </w:p>
    <w:p w14:paraId="57B7F80B" w14:textId="77777777" w:rsidR="00FF11C8" w:rsidRPr="00827C5E" w:rsidRDefault="00FF11C8" w:rsidP="00FF11C8">
      <w:pPr>
        <w:spacing w:after="0" w:line="360" w:lineRule="auto"/>
        <w:jc w:val="both"/>
        <w:rPr>
          <w:rFonts w:ascii="Sylfaen" w:hAnsi="Sylfaen"/>
        </w:rPr>
      </w:pPr>
      <w:r w:rsidRPr="00827C5E">
        <w:rPr>
          <w:rFonts w:ascii="Sylfaen" w:hAnsi="Sylfaen"/>
          <w:b/>
          <w:bCs/>
        </w:rPr>
        <w:t>Name of archaeological site</w:t>
      </w:r>
      <w:r w:rsidRPr="00827C5E">
        <w:rPr>
          <w:rFonts w:ascii="Sylfaen" w:hAnsi="Sylfaen"/>
        </w:rPr>
        <w:t>: Janjghnari</w:t>
      </w:r>
    </w:p>
    <w:p w14:paraId="47B3A70C" w14:textId="77777777" w:rsidR="00FF11C8" w:rsidRPr="00827C5E" w:rsidRDefault="00FF11C8" w:rsidP="00FF11C8">
      <w:pPr>
        <w:spacing w:after="0" w:line="360" w:lineRule="auto"/>
        <w:jc w:val="both"/>
        <w:rPr>
          <w:rFonts w:ascii="Sylfaen" w:hAnsi="Sylfaen"/>
        </w:rPr>
      </w:pPr>
      <w:r w:rsidRPr="00827C5E">
        <w:rPr>
          <w:rFonts w:ascii="Sylfaen" w:hAnsi="Sylfaen"/>
          <w:b/>
          <w:bCs/>
        </w:rPr>
        <w:t>Type of archaeological site:</w:t>
      </w:r>
      <w:r w:rsidRPr="00827C5E">
        <w:rPr>
          <w:rFonts w:ascii="Sylfaen" w:hAnsi="Sylfaen"/>
        </w:rPr>
        <w:t xml:space="preserve"> Ancient Settlement </w:t>
      </w:r>
    </w:p>
    <w:p w14:paraId="521C4429" w14:textId="4BBB76FF" w:rsidR="00FF11C8" w:rsidRPr="00827C5E" w:rsidRDefault="00FF11C8" w:rsidP="00FF11C8">
      <w:pPr>
        <w:spacing w:after="0" w:line="360" w:lineRule="auto"/>
        <w:jc w:val="both"/>
        <w:rPr>
          <w:rFonts w:ascii="Sylfaen" w:hAnsi="Sylfaen"/>
        </w:rPr>
      </w:pPr>
      <w:r w:rsidRPr="00827C5E">
        <w:rPr>
          <w:rFonts w:ascii="Sylfaen" w:hAnsi="Sylfaen"/>
          <w:b/>
          <w:bCs/>
        </w:rPr>
        <w:t>Chronological attribution (historical era, exact date)</w:t>
      </w:r>
      <w:r w:rsidRPr="00827C5E">
        <w:rPr>
          <w:rFonts w:ascii="Sylfaen" w:hAnsi="Sylfaen"/>
        </w:rPr>
        <w:t xml:space="preserve"> – Eneolithic-Early Bronze Age, end of the 5</w:t>
      </w:r>
      <w:r w:rsidRPr="00827C5E">
        <w:rPr>
          <w:rFonts w:ascii="Sylfaen" w:hAnsi="Sylfaen"/>
          <w:vertAlign w:val="superscript"/>
        </w:rPr>
        <w:t>th</w:t>
      </w:r>
      <w:r w:rsidRPr="00827C5E">
        <w:rPr>
          <w:rFonts w:ascii="Sylfaen" w:hAnsi="Sylfaen"/>
        </w:rPr>
        <w:t xml:space="preserve"> millennium BC - first half of the </w:t>
      </w:r>
      <w:r w:rsidR="00A92DE6" w:rsidRPr="00827C5E">
        <w:rPr>
          <w:rFonts w:ascii="Sylfaen" w:hAnsi="Sylfaen"/>
        </w:rPr>
        <w:t>3</w:t>
      </w:r>
      <w:r w:rsidR="00A92DE6" w:rsidRPr="00827C5E">
        <w:rPr>
          <w:rFonts w:ascii="Sylfaen" w:hAnsi="Sylfaen"/>
          <w:vertAlign w:val="superscript"/>
        </w:rPr>
        <w:t>rd</w:t>
      </w:r>
      <w:r w:rsidR="00A92DE6" w:rsidRPr="00827C5E">
        <w:rPr>
          <w:rFonts w:ascii="Sylfaen" w:hAnsi="Sylfaen"/>
        </w:rPr>
        <w:t xml:space="preserve"> </w:t>
      </w:r>
      <w:r w:rsidRPr="00827C5E">
        <w:rPr>
          <w:rFonts w:ascii="Sylfaen" w:hAnsi="Sylfaen"/>
        </w:rPr>
        <w:t>millennium BC.</w:t>
      </w:r>
    </w:p>
    <w:p w14:paraId="216FB9B4" w14:textId="77777777" w:rsidR="00FF11C8" w:rsidRPr="00827C5E" w:rsidRDefault="00FF11C8" w:rsidP="00FF11C8">
      <w:pPr>
        <w:spacing w:after="0" w:line="360" w:lineRule="auto"/>
        <w:jc w:val="both"/>
        <w:rPr>
          <w:rFonts w:ascii="Sylfaen" w:hAnsi="Sylfaen"/>
        </w:rPr>
      </w:pPr>
      <w:r w:rsidRPr="00827C5E">
        <w:rPr>
          <w:rFonts w:ascii="Sylfaen" w:hAnsi="Sylfaen"/>
          <w:b/>
          <w:bCs/>
        </w:rPr>
        <w:t>Address (municipality, city, village, valley)</w:t>
      </w:r>
      <w:r w:rsidRPr="00827C5E">
        <w:rPr>
          <w:rFonts w:ascii="Sylfaen" w:hAnsi="Sylfaen"/>
        </w:rPr>
        <w:t xml:space="preserve"> – Georgia, Khulo Municipality, Mount Janjghnari. GPS coordinates: N 41°47.272 E 042°25.344</w:t>
      </w:r>
    </w:p>
    <w:p w14:paraId="5633FBF1" w14:textId="77777777" w:rsidR="00FF11C8" w:rsidRPr="00827C5E" w:rsidRDefault="00FF11C8" w:rsidP="00FF11C8">
      <w:pPr>
        <w:spacing w:after="0" w:line="360" w:lineRule="auto"/>
        <w:ind w:firstLine="720"/>
        <w:jc w:val="both"/>
        <w:rPr>
          <w:rFonts w:ascii="Sylfaen" w:hAnsi="Sylfaen"/>
          <w:b/>
          <w:bCs/>
        </w:rPr>
      </w:pPr>
      <w:r w:rsidRPr="00827C5E">
        <w:rPr>
          <w:rFonts w:ascii="Sylfaen" w:hAnsi="Sylfaen"/>
          <w:b/>
          <w:bCs/>
        </w:rPr>
        <w:t>History of study/research (circumstances of discovery, studies conducted on the monument, researchers working on the monument, bibliography):</w:t>
      </w:r>
    </w:p>
    <w:p w14:paraId="23552651" w14:textId="77777777" w:rsidR="00FF11C8" w:rsidRPr="00827C5E" w:rsidRDefault="00FF11C8" w:rsidP="00FF11C8">
      <w:pPr>
        <w:spacing w:after="0" w:line="360" w:lineRule="auto"/>
        <w:ind w:firstLine="720"/>
        <w:jc w:val="both"/>
        <w:rPr>
          <w:rFonts w:ascii="Sylfaen" w:hAnsi="Sylfaen"/>
        </w:rPr>
      </w:pPr>
      <w:r w:rsidRPr="00827C5E">
        <w:rPr>
          <w:rFonts w:ascii="Sylfaen" w:hAnsi="Sylfaen"/>
          <w:b/>
          <w:bCs/>
        </w:rPr>
        <w:t>Circumstances of the discovery</w:t>
      </w:r>
      <w:r w:rsidRPr="00827C5E">
        <w:rPr>
          <w:rFonts w:ascii="Sylfaen" w:hAnsi="Sylfaen"/>
        </w:rPr>
        <w:t xml:space="preserve">: In 1990, Aleksi Iremadze, a resident of the village of </w:t>
      </w:r>
      <w:proofErr w:type="spellStart"/>
      <w:r w:rsidRPr="00827C5E">
        <w:rPr>
          <w:rFonts w:ascii="Sylfaen" w:hAnsi="Sylfaen"/>
        </w:rPr>
        <w:t>Iremadzeebi</w:t>
      </w:r>
      <w:proofErr w:type="spellEnd"/>
      <w:r w:rsidRPr="00827C5E">
        <w:rPr>
          <w:rFonts w:ascii="Sylfaen" w:hAnsi="Sylfaen"/>
        </w:rPr>
        <w:t>, uncovered a range of domestic and agricultural artifacts while conducting earthworks to prepare a site for the construction of a summer cottage in Janjghnari (approximately 2000 meters above sea level). The assemblage - comprising clay vessels, bone awls, bronze objects, water pipes, and other materials from different historical periods - subsequently attracted the attention of archaeologists.</w:t>
      </w:r>
    </w:p>
    <w:p w14:paraId="14ABBC22" w14:textId="77777777" w:rsidR="00FF11C8" w:rsidRPr="00827C5E" w:rsidRDefault="00FF11C8" w:rsidP="00FF11C8">
      <w:pPr>
        <w:spacing w:after="0" w:line="360" w:lineRule="auto"/>
        <w:ind w:firstLine="720"/>
        <w:jc w:val="both"/>
        <w:rPr>
          <w:rFonts w:ascii="Sylfaen" w:hAnsi="Sylfaen"/>
          <w:color w:val="000000" w:themeColor="text1"/>
        </w:rPr>
      </w:pPr>
      <w:r w:rsidRPr="00827C5E">
        <w:rPr>
          <w:rFonts w:ascii="Sylfaen" w:hAnsi="Sylfaen"/>
          <w:b/>
          <w:bCs/>
        </w:rPr>
        <w:t>Research conducted on the monument</w:t>
      </w:r>
      <w:r w:rsidRPr="00827C5E">
        <w:rPr>
          <w:rFonts w:ascii="Sylfaen" w:hAnsi="Sylfaen"/>
        </w:rPr>
        <w:t>:</w:t>
      </w:r>
      <w:r w:rsidRPr="00827C5E">
        <w:rPr>
          <w:rFonts w:ascii="Sylfaen" w:hAnsi="Sylfaen"/>
          <w:lang w:val="ka-GE"/>
        </w:rPr>
        <w:t xml:space="preserve"> </w:t>
      </w:r>
      <w:r w:rsidRPr="00827C5E">
        <w:rPr>
          <w:rFonts w:ascii="Sylfaen" w:hAnsi="Sylfaen"/>
        </w:rPr>
        <w:t>No systematic archaeological investigations have been conducted at the site. However, in August–September 1993, a reconnaissance survey was carried out by an expedition of the Batumi Niko Berdzenishvili Research Institute under the direction of Amiran Kakhidze, with the participation of Shota Mamuladze and Anzor Javelidze.</w:t>
      </w:r>
      <w:r w:rsidRPr="00827C5E">
        <w:rPr>
          <w:rFonts w:ascii="Sylfaen" w:hAnsi="Sylfaen"/>
          <w:lang w:val="ka-GE"/>
        </w:rPr>
        <w:t xml:space="preserve"> </w:t>
      </w:r>
      <w:r w:rsidRPr="00827C5E">
        <w:rPr>
          <w:rFonts w:ascii="Sylfaen" w:hAnsi="Sylfaen"/>
        </w:rPr>
        <w:t>The results of the fieldwork confirmed the presence of a settlement at the location. The assemblage of recovered materials</w:t>
      </w:r>
      <w:r w:rsidRPr="00827C5E">
        <w:rPr>
          <w:rFonts w:ascii="Sylfaen" w:hAnsi="Sylfaen"/>
          <w:lang w:val="ka-GE"/>
        </w:rPr>
        <w:t xml:space="preserve"> - </w:t>
      </w:r>
      <w:r w:rsidRPr="00827C5E">
        <w:rPr>
          <w:rFonts w:ascii="Sylfaen" w:hAnsi="Sylfaen"/>
        </w:rPr>
        <w:t xml:space="preserve">including flint and obsidian tool flakes, slingshot stones, a mortar, a stone stamp for </w:t>
      </w:r>
      <w:r w:rsidRPr="00827C5E">
        <w:rPr>
          <w:rFonts w:ascii="Sylfaen" w:hAnsi="Sylfaen"/>
          <w:color w:val="000000" w:themeColor="text1"/>
        </w:rPr>
        <w:t xml:space="preserve">jewelry production, ceramic artifacts, a bronze knife, as well as the remains of a traditional Georgian clay oven and a storage pit - was attributed to multiple chronological phases. The earliest of these </w:t>
      </w:r>
      <w:proofErr w:type="gramStart"/>
      <w:r w:rsidRPr="00827C5E">
        <w:rPr>
          <w:rFonts w:ascii="Sylfaen" w:hAnsi="Sylfaen"/>
          <w:color w:val="000000" w:themeColor="text1"/>
        </w:rPr>
        <w:t>finds</w:t>
      </w:r>
      <w:proofErr w:type="gramEnd"/>
      <w:r w:rsidRPr="00827C5E">
        <w:rPr>
          <w:rFonts w:ascii="Sylfaen" w:hAnsi="Sylfaen"/>
          <w:color w:val="000000" w:themeColor="text1"/>
        </w:rPr>
        <w:t xml:space="preserve"> dates to the Eneolithic period.</w:t>
      </w:r>
    </w:p>
    <w:p w14:paraId="1B5D1B80" w14:textId="77777777" w:rsidR="00FF11C8" w:rsidRPr="00827C5E" w:rsidRDefault="00FF11C8" w:rsidP="00FF11C8">
      <w:pPr>
        <w:spacing w:after="0" w:line="360" w:lineRule="auto"/>
        <w:ind w:firstLine="720"/>
        <w:jc w:val="both"/>
        <w:rPr>
          <w:rFonts w:ascii="Sylfaen" w:hAnsi="Sylfaen"/>
        </w:rPr>
      </w:pPr>
      <w:r w:rsidRPr="00827C5E">
        <w:rPr>
          <w:rFonts w:ascii="Sylfaen" w:hAnsi="Sylfaen"/>
        </w:rPr>
        <w:t xml:space="preserve">The scientific examination of the Eneolithic–Early Bronze Age assemblage recovered during reconnaissance fieldwork is associated with the work of </w:t>
      </w:r>
      <w:r w:rsidRPr="00827C5E">
        <w:rPr>
          <w:rFonts w:ascii="Sylfaen" w:hAnsi="Sylfaen"/>
          <w:b/>
          <w:bCs/>
          <w:color w:val="EE0000"/>
        </w:rPr>
        <w:t>Amiran Kakhidze</w:t>
      </w:r>
      <w:r w:rsidRPr="00827C5E">
        <w:rPr>
          <w:rFonts w:ascii="Sylfaen" w:hAnsi="Sylfaen"/>
          <w:color w:val="EE0000"/>
        </w:rPr>
        <w:t xml:space="preserve"> </w:t>
      </w:r>
      <w:r w:rsidRPr="00827C5E">
        <w:rPr>
          <w:rFonts w:ascii="Sylfaen" w:hAnsi="Sylfaen"/>
        </w:rPr>
        <w:t xml:space="preserve">and </w:t>
      </w:r>
      <w:r w:rsidRPr="00827C5E">
        <w:rPr>
          <w:rFonts w:ascii="Sylfaen" w:hAnsi="Sylfaen"/>
          <w:b/>
          <w:bCs/>
          <w:color w:val="EE0000"/>
        </w:rPr>
        <w:t>Shota Mamuladze</w:t>
      </w:r>
      <w:r w:rsidRPr="00827C5E">
        <w:rPr>
          <w:rFonts w:ascii="Sylfaen" w:hAnsi="Sylfaen"/>
        </w:rPr>
        <w:t>. The researchers pay special attention to those pottery products that are characterized by some peculiarities and formal originality.</w:t>
      </w:r>
      <w:r w:rsidRPr="00827C5E">
        <w:rPr>
          <w:rFonts w:ascii="Sylfaen" w:hAnsi="Sylfaen"/>
          <w:lang w:val="ka-GE"/>
        </w:rPr>
        <w:t xml:space="preserve"> </w:t>
      </w:r>
      <w:r w:rsidRPr="00827C5E">
        <w:rPr>
          <w:rFonts w:ascii="Sylfaen" w:hAnsi="Sylfaen"/>
        </w:rPr>
        <w:t>Among these, one notable example is a large clay vessel of Dergi type. It is handmade and characterized by a flat base, an asymmetrical biconical body, and a wide, high neck terminating in a plain rim that is slightly everted (</w:t>
      </w:r>
      <w:r w:rsidRPr="00827C5E">
        <w:rPr>
          <w:rFonts w:ascii="Sylfaen" w:hAnsi="Sylfaen"/>
          <w:color w:val="4472C4" w:themeColor="accent1"/>
        </w:rPr>
        <w:t>Tab. I/1</w:t>
      </w:r>
      <w:r w:rsidRPr="00827C5E">
        <w:rPr>
          <w:rFonts w:ascii="Sylfaen" w:hAnsi="Sylfaen"/>
        </w:rPr>
        <w:t xml:space="preserve">). A second specimen is a thick-walled clay </w:t>
      </w:r>
      <w:r w:rsidRPr="00827C5E">
        <w:rPr>
          <w:rFonts w:ascii="Sylfaen" w:hAnsi="Sylfaen"/>
        </w:rPr>
        <w:lastRenderedPageBreak/>
        <w:t>jar, likewise handmade. It exhibits a flat base and an asymmetrical biconical body, complemented by a high, wide cylindrical neck. The rim is plain and slightly everted, and the surface has been carefully polished (</w:t>
      </w:r>
      <w:r w:rsidRPr="00827C5E">
        <w:rPr>
          <w:rFonts w:ascii="Sylfaen" w:hAnsi="Sylfaen"/>
          <w:color w:val="4472C4" w:themeColor="accent1"/>
        </w:rPr>
        <w:t>Tab. I/2</w:t>
      </w:r>
      <w:r w:rsidRPr="00827C5E">
        <w:rPr>
          <w:rFonts w:ascii="Sylfaen" w:hAnsi="Sylfaen"/>
        </w:rPr>
        <w:t>).</w:t>
      </w:r>
    </w:p>
    <w:p w14:paraId="5DF4CB59" w14:textId="6C18B5DB" w:rsidR="00FF11C8" w:rsidRPr="00827C5E" w:rsidRDefault="00FF11C8" w:rsidP="00FF11C8">
      <w:pPr>
        <w:spacing w:after="0" w:line="360" w:lineRule="auto"/>
        <w:ind w:firstLine="720"/>
        <w:jc w:val="both"/>
        <w:rPr>
          <w:rFonts w:ascii="Sylfaen" w:hAnsi="Sylfaen"/>
        </w:rPr>
      </w:pPr>
      <w:r w:rsidRPr="00827C5E">
        <w:rPr>
          <w:rFonts w:ascii="Sylfaen" w:hAnsi="Sylfaen"/>
        </w:rPr>
        <w:t>According to the observations of the researchers, no direct parallels to the ceramic assemblage from Janjghnari have been identified among Eneolithic–Early Bronze Age materials in Transcaucasia or its adjacent regions. At the same time, the possibility is not excluded that these ceramics represent a distinct typological manifestation of the Shulaver</w:t>
      </w:r>
      <w:r w:rsidR="00854D0A" w:rsidRPr="00827C5E">
        <w:rPr>
          <w:rFonts w:ascii="Sylfaen" w:hAnsi="Sylfaen"/>
        </w:rPr>
        <w:t>i</w:t>
      </w:r>
      <w:r w:rsidRPr="00827C5E">
        <w:rPr>
          <w:rFonts w:ascii="Sylfaen" w:hAnsi="Sylfaen"/>
        </w:rPr>
        <w:t>-Shomu-Tepe culture and Kura-Araxes culture cultural traditions, potentially constituting a previously unrecognized local variant thereof.</w:t>
      </w:r>
    </w:p>
    <w:p w14:paraId="132A0AF9" w14:textId="77777777" w:rsidR="00FF11C8" w:rsidRPr="00827C5E" w:rsidRDefault="00FF11C8" w:rsidP="00FF11C8">
      <w:pPr>
        <w:spacing w:after="0" w:line="360" w:lineRule="auto"/>
        <w:ind w:firstLine="720"/>
        <w:jc w:val="both"/>
        <w:rPr>
          <w:rFonts w:ascii="Sylfaen" w:hAnsi="Sylfaen"/>
        </w:rPr>
      </w:pPr>
      <w:r w:rsidRPr="00827C5E">
        <w:rPr>
          <w:rFonts w:ascii="Sylfaen" w:hAnsi="Sylfaen"/>
        </w:rPr>
        <w:t>Three awls recovered from the settlement of Janjghnari (</w:t>
      </w:r>
      <w:r w:rsidRPr="00827C5E">
        <w:rPr>
          <w:rFonts w:ascii="Sylfaen" w:hAnsi="Sylfaen"/>
          <w:color w:val="4472C4" w:themeColor="accent1"/>
        </w:rPr>
        <w:t>Tab. I/4</w:t>
      </w:r>
      <w:r w:rsidRPr="00827C5E">
        <w:rPr>
          <w:rFonts w:ascii="Sylfaen" w:hAnsi="Sylfaen"/>
        </w:rPr>
        <w:t>) are attributed to the Eneolithic period. These implements are fashioned from the flattened tubular bones of small animals, with their pointed tips produced through careful scraping. The surfaces are thoroughly smoothed and well-polished, indicating a deliberate finishing technique.</w:t>
      </w:r>
    </w:p>
    <w:p w14:paraId="4EF3ACAD" w14:textId="77777777" w:rsidR="00FF11C8" w:rsidRPr="00827C5E" w:rsidRDefault="00FF11C8" w:rsidP="00FF11C8">
      <w:pPr>
        <w:spacing w:after="0" w:line="360" w:lineRule="auto"/>
        <w:ind w:firstLine="720"/>
        <w:jc w:val="both"/>
        <w:rPr>
          <w:rFonts w:ascii="Sylfaen" w:hAnsi="Sylfaen"/>
        </w:rPr>
      </w:pPr>
      <w:r w:rsidRPr="00827C5E">
        <w:rPr>
          <w:rFonts w:ascii="Sylfaen" w:hAnsi="Sylfaen"/>
        </w:rPr>
        <w:t>The aforementioned ceramic vessels and bone awls from Janjghnari can be dated to the late 5</w:t>
      </w:r>
      <w:r w:rsidRPr="00827C5E">
        <w:rPr>
          <w:rFonts w:ascii="Sylfaen" w:hAnsi="Sylfaen"/>
          <w:vertAlign w:val="superscript"/>
        </w:rPr>
        <w:t>th</w:t>
      </w:r>
      <w:r w:rsidRPr="00827C5E">
        <w:rPr>
          <w:rFonts w:ascii="Sylfaen" w:hAnsi="Sylfaen"/>
          <w:lang w:val="ka-GE"/>
        </w:rPr>
        <w:t xml:space="preserve"> </w:t>
      </w:r>
      <w:r w:rsidRPr="00827C5E">
        <w:rPr>
          <w:rFonts w:ascii="Sylfaen" w:hAnsi="Sylfaen"/>
        </w:rPr>
        <w:t>millennium BC through the first half of the 4</w:t>
      </w:r>
      <w:r w:rsidRPr="00827C5E">
        <w:rPr>
          <w:rFonts w:ascii="Sylfaen" w:hAnsi="Sylfaen"/>
          <w:vertAlign w:val="superscript"/>
        </w:rPr>
        <w:t>th</w:t>
      </w:r>
      <w:r w:rsidRPr="00827C5E">
        <w:rPr>
          <w:rFonts w:ascii="Sylfaen" w:hAnsi="Sylfaen"/>
        </w:rPr>
        <w:t xml:space="preserve"> millennium BC. In contrast, a clay jar from the same context is assigned to a slightly later horizon, namely the late 4</w:t>
      </w:r>
      <w:r w:rsidRPr="00827C5E">
        <w:rPr>
          <w:rFonts w:ascii="Sylfaen" w:hAnsi="Sylfaen"/>
          <w:vertAlign w:val="superscript"/>
        </w:rPr>
        <w:t>th</w:t>
      </w:r>
      <w:r w:rsidRPr="00827C5E">
        <w:rPr>
          <w:rFonts w:ascii="Sylfaen" w:hAnsi="Sylfaen"/>
        </w:rPr>
        <w:t xml:space="preserve"> millennium BC to the first half of the 3</w:t>
      </w:r>
      <w:r w:rsidRPr="00827C5E">
        <w:rPr>
          <w:rFonts w:ascii="Sylfaen" w:hAnsi="Sylfaen"/>
          <w:vertAlign w:val="superscript"/>
        </w:rPr>
        <w:t>rd</w:t>
      </w:r>
      <w:r w:rsidRPr="00827C5E">
        <w:rPr>
          <w:rFonts w:ascii="Sylfaen" w:hAnsi="Sylfaen"/>
        </w:rPr>
        <w:t xml:space="preserve"> millennium BC. This vessel is characterized by a deep capacity, a relatively narrow, flat mouth, and a tall conical body. The rim is rounded and slightly incurved, exhibiting a brownish coloration. The surface has been carefully polished. Notably, the vessel shows evidence of repair: a pair of perforations was made on either side near the rim, presumably to secure a mend (</w:t>
      </w:r>
      <w:r w:rsidRPr="00827C5E">
        <w:rPr>
          <w:rFonts w:ascii="Sylfaen" w:hAnsi="Sylfaen"/>
          <w:color w:val="4472C4" w:themeColor="accent1"/>
        </w:rPr>
        <w:t>Tab. I/3</w:t>
      </w:r>
      <w:r w:rsidRPr="00827C5E">
        <w:rPr>
          <w:rFonts w:ascii="Sylfaen" w:hAnsi="Sylfaen"/>
        </w:rPr>
        <w:t>).</w:t>
      </w:r>
    </w:p>
    <w:p w14:paraId="753447DB" w14:textId="6FDEC082" w:rsidR="00FF11C8" w:rsidRPr="00827C5E" w:rsidRDefault="00FF11C8" w:rsidP="00FF11C8">
      <w:pPr>
        <w:spacing w:after="0" w:line="360" w:lineRule="auto"/>
        <w:ind w:firstLine="720"/>
        <w:jc w:val="both"/>
        <w:rPr>
          <w:rFonts w:ascii="Sylfaen" w:hAnsi="Sylfaen"/>
        </w:rPr>
      </w:pPr>
      <w:r w:rsidRPr="00827C5E">
        <w:rPr>
          <w:rFonts w:ascii="Sylfaen" w:hAnsi="Sylfaen"/>
        </w:rPr>
        <w:t xml:space="preserve">The assemblage of artifacts recovered from the Janjghnari settlement is currently preserved in the collections of </w:t>
      </w:r>
      <w:r w:rsidRPr="00827C5E">
        <w:rPr>
          <w:rFonts w:ascii="Sylfaen" w:hAnsi="Sylfaen"/>
          <w:b/>
          <w:bCs/>
        </w:rPr>
        <w:t xml:space="preserve">the Amiran Kakhidze Ajara </w:t>
      </w:r>
      <w:r w:rsidR="00827C5E" w:rsidRPr="00827C5E">
        <w:rPr>
          <w:rFonts w:ascii="Sylfaen" w:hAnsi="Sylfaen"/>
          <w:b/>
          <w:bCs/>
        </w:rPr>
        <w:t xml:space="preserve">Archaeological </w:t>
      </w:r>
      <w:r w:rsidRPr="00827C5E">
        <w:rPr>
          <w:rFonts w:ascii="Sylfaen" w:hAnsi="Sylfaen"/>
          <w:b/>
          <w:bCs/>
        </w:rPr>
        <w:t>Museum</w:t>
      </w:r>
      <w:r w:rsidR="00A95703" w:rsidRPr="00827C5E">
        <w:rPr>
          <w:rFonts w:ascii="Sylfaen" w:hAnsi="Sylfaen"/>
          <w:b/>
          <w:bCs/>
        </w:rPr>
        <w:t xml:space="preserve"> (LEPL Ajara Museum)</w:t>
      </w:r>
      <w:r w:rsidRPr="00827C5E">
        <w:rPr>
          <w:rFonts w:ascii="Sylfaen" w:hAnsi="Sylfaen"/>
        </w:rPr>
        <w:t>.</w:t>
      </w:r>
    </w:p>
    <w:p w14:paraId="1D783999" w14:textId="77777777" w:rsidR="00827C5E" w:rsidRPr="00827C5E" w:rsidRDefault="00827C5E" w:rsidP="00FF11C8">
      <w:pPr>
        <w:spacing w:after="0" w:line="360" w:lineRule="auto"/>
        <w:ind w:firstLine="720"/>
        <w:jc w:val="both"/>
        <w:rPr>
          <w:rFonts w:ascii="Sylfaen" w:hAnsi="Sylfaen"/>
        </w:rPr>
      </w:pPr>
    </w:p>
    <w:p w14:paraId="71B582AF" w14:textId="77777777" w:rsidR="00FF11C8" w:rsidRPr="00827C5E" w:rsidRDefault="00FF11C8" w:rsidP="00FF11C8">
      <w:pPr>
        <w:spacing w:after="0" w:line="360" w:lineRule="auto"/>
        <w:ind w:firstLine="720"/>
        <w:rPr>
          <w:rFonts w:ascii="Sylfaen" w:hAnsi="Sylfaen"/>
        </w:rPr>
      </w:pPr>
      <w:r w:rsidRPr="00827C5E">
        <w:rPr>
          <w:rFonts w:ascii="Sylfaen" w:hAnsi="Sylfaen"/>
          <w:b/>
          <w:bCs/>
        </w:rPr>
        <w:t>Bibliography</w:t>
      </w:r>
      <w:r w:rsidRPr="00827C5E">
        <w:rPr>
          <w:rFonts w:ascii="Sylfaen" w:hAnsi="Sylfaen"/>
        </w:rPr>
        <w:t>:</w:t>
      </w:r>
    </w:p>
    <w:p w14:paraId="5B636397" w14:textId="4F8C1C42" w:rsidR="00FF11C8" w:rsidRPr="00827C5E" w:rsidRDefault="00FF11C8" w:rsidP="00FF11C8">
      <w:pPr>
        <w:spacing w:after="0" w:line="360" w:lineRule="auto"/>
        <w:ind w:firstLine="720"/>
        <w:jc w:val="both"/>
        <w:rPr>
          <w:rFonts w:ascii="Sylfaen" w:hAnsi="Sylfaen"/>
        </w:rPr>
      </w:pPr>
      <w:r w:rsidRPr="00827C5E">
        <w:rPr>
          <w:rFonts w:ascii="Sylfaen" w:hAnsi="Sylfaen"/>
        </w:rPr>
        <w:t xml:space="preserve">1. </w:t>
      </w:r>
      <w:r w:rsidRPr="00827C5E">
        <w:rPr>
          <w:rFonts w:ascii="Sylfaen" w:hAnsi="Sylfaen"/>
          <w:b/>
          <w:bCs/>
        </w:rPr>
        <w:t xml:space="preserve">Kakhidze A., Mamuladze Sh., </w:t>
      </w:r>
      <w:r w:rsidRPr="00827C5E">
        <w:rPr>
          <w:rFonts w:ascii="Sylfaen" w:hAnsi="Sylfaen"/>
        </w:rPr>
        <w:t>New Archaeological Discoveries in the Ajara Mountains. - Newspaper "Ajara", July 2, 1994</w:t>
      </w:r>
    </w:p>
    <w:p w14:paraId="0EF086FA" w14:textId="02407517" w:rsidR="00FF11C8" w:rsidRPr="00827C5E" w:rsidRDefault="00FF11C8" w:rsidP="00FF11C8">
      <w:pPr>
        <w:spacing w:after="0" w:line="360" w:lineRule="auto"/>
        <w:ind w:firstLine="720"/>
        <w:jc w:val="both"/>
        <w:rPr>
          <w:rFonts w:ascii="Sylfaen" w:hAnsi="Sylfaen"/>
          <w:lang w:val="ka-GE"/>
        </w:rPr>
      </w:pPr>
      <w:r w:rsidRPr="00827C5E">
        <w:rPr>
          <w:rFonts w:ascii="Sylfaen" w:hAnsi="Sylfaen"/>
        </w:rPr>
        <w:t xml:space="preserve">2. </w:t>
      </w:r>
      <w:r w:rsidRPr="00827C5E">
        <w:rPr>
          <w:rFonts w:ascii="Sylfaen" w:hAnsi="Sylfaen"/>
          <w:b/>
          <w:bCs/>
        </w:rPr>
        <w:t>Kakhidze A., Mamuladze Sh.,</w:t>
      </w:r>
      <w:r w:rsidRPr="00827C5E">
        <w:rPr>
          <w:rFonts w:ascii="Sylfaen" w:hAnsi="Sylfaen"/>
        </w:rPr>
        <w:t xml:space="preserve"> Chorokhi Basin - the Ancient Center of Colchian Culture, Batumi, 2000, pp. 24-30</w:t>
      </w:r>
      <w:r w:rsidR="00A95703" w:rsidRPr="00827C5E">
        <w:rPr>
          <w:rFonts w:ascii="Sylfaen" w:hAnsi="Sylfaen"/>
        </w:rPr>
        <w:t xml:space="preserve"> (</w:t>
      </w:r>
      <w:r w:rsidR="00A95703" w:rsidRPr="00827C5E">
        <w:rPr>
          <w:rFonts w:ascii="Sylfaen" w:hAnsi="Sylfaen"/>
          <w:color w:val="538135" w:themeColor="accent6" w:themeShade="BF"/>
        </w:rPr>
        <w:t>pdf</w:t>
      </w:r>
      <w:r w:rsidR="00A95703" w:rsidRPr="00827C5E">
        <w:rPr>
          <w:rFonts w:ascii="Sylfaen" w:hAnsi="Sylfaen"/>
        </w:rPr>
        <w:t>)</w:t>
      </w:r>
    </w:p>
    <w:p w14:paraId="2F129404" w14:textId="5A505949" w:rsidR="00A95703" w:rsidRPr="00827C5E" w:rsidRDefault="00FF11C8" w:rsidP="00A95703">
      <w:pPr>
        <w:spacing w:after="0" w:line="360" w:lineRule="auto"/>
        <w:ind w:firstLine="720"/>
        <w:jc w:val="both"/>
        <w:rPr>
          <w:rFonts w:ascii="Sylfaen" w:hAnsi="Sylfaen"/>
        </w:rPr>
      </w:pPr>
      <w:r w:rsidRPr="00827C5E">
        <w:rPr>
          <w:rFonts w:ascii="Sylfaen" w:hAnsi="Sylfaen"/>
        </w:rPr>
        <w:t xml:space="preserve">3. </w:t>
      </w:r>
      <w:r w:rsidRPr="00827C5E">
        <w:rPr>
          <w:rFonts w:ascii="Sylfaen" w:hAnsi="Sylfaen"/>
          <w:b/>
          <w:bCs/>
        </w:rPr>
        <w:t>Kakhidze A.,</w:t>
      </w:r>
      <w:r w:rsidRPr="00827C5E">
        <w:rPr>
          <w:rFonts w:ascii="Sylfaen" w:hAnsi="Sylfaen"/>
        </w:rPr>
        <w:t xml:space="preserve"> Eneolithic-Pre-Bronze Age Culture, Essays on the History of South-Western Georgia, Ajara (from Ancient Times to the 5</w:t>
      </w:r>
      <w:r w:rsidRPr="00827C5E">
        <w:rPr>
          <w:rFonts w:ascii="Sylfaen" w:hAnsi="Sylfaen"/>
          <w:vertAlign w:val="superscript"/>
        </w:rPr>
        <w:t>th</w:t>
      </w:r>
      <w:r w:rsidRPr="00827C5E">
        <w:rPr>
          <w:rFonts w:ascii="Sylfaen" w:hAnsi="Sylfaen"/>
          <w:lang w:val="ka-GE"/>
        </w:rPr>
        <w:t xml:space="preserve"> </w:t>
      </w:r>
      <w:r w:rsidRPr="00827C5E">
        <w:rPr>
          <w:rFonts w:ascii="Sylfaen" w:hAnsi="Sylfaen"/>
        </w:rPr>
        <w:t>Century AD), Volume I, Batumi, 2007, pp. 135-139</w:t>
      </w:r>
      <w:r w:rsidR="00A95703" w:rsidRPr="00827C5E">
        <w:rPr>
          <w:rFonts w:ascii="Sylfaen" w:hAnsi="Sylfaen"/>
        </w:rPr>
        <w:t xml:space="preserve"> (</w:t>
      </w:r>
      <w:r w:rsidR="00A95703" w:rsidRPr="00827C5E">
        <w:rPr>
          <w:rFonts w:ascii="Sylfaen" w:hAnsi="Sylfaen"/>
          <w:color w:val="538135" w:themeColor="accent6" w:themeShade="BF"/>
        </w:rPr>
        <w:t>pdf</w:t>
      </w:r>
      <w:r w:rsidR="00A95703" w:rsidRPr="00827C5E">
        <w:rPr>
          <w:rFonts w:ascii="Sylfaen" w:hAnsi="Sylfaen"/>
        </w:rPr>
        <w:t>)</w:t>
      </w:r>
    </w:p>
    <w:p w14:paraId="3879B495" w14:textId="22C4A850" w:rsidR="00FF11C8" w:rsidRPr="00827C5E" w:rsidRDefault="00A95703" w:rsidP="00A95703">
      <w:pPr>
        <w:spacing w:after="0" w:line="360" w:lineRule="auto"/>
        <w:ind w:firstLine="720"/>
        <w:jc w:val="both"/>
        <w:rPr>
          <w:rFonts w:ascii="Sylfaen" w:hAnsi="Sylfaen"/>
        </w:rPr>
      </w:pPr>
      <w:r w:rsidRPr="00827C5E">
        <w:rPr>
          <w:rFonts w:ascii="Sylfaen" w:hAnsi="Sylfaen"/>
        </w:rPr>
        <w:lastRenderedPageBreak/>
        <w:t xml:space="preserve">4. </w:t>
      </w:r>
      <w:r w:rsidR="00FF11C8" w:rsidRPr="00827C5E">
        <w:rPr>
          <w:rFonts w:ascii="Sylfaen" w:hAnsi="Sylfaen"/>
          <w:b/>
          <w:bCs/>
        </w:rPr>
        <w:t>Kakhidze A., Surmanidze N., Nagervadze M.,</w:t>
      </w:r>
      <w:r w:rsidR="00FF11C8" w:rsidRPr="00827C5E">
        <w:rPr>
          <w:rFonts w:ascii="Sylfaen" w:hAnsi="Sylfaen"/>
        </w:rPr>
        <w:t xml:space="preserve"> Ajara in the Eneolithic-Bronze and Early Iron Ages (catalog), Batumi, 2016, pp. 14-16</w:t>
      </w:r>
      <w:r w:rsidRPr="00827C5E">
        <w:rPr>
          <w:rFonts w:ascii="Sylfaen" w:hAnsi="Sylfaen"/>
        </w:rPr>
        <w:t xml:space="preserve"> (</w:t>
      </w:r>
      <w:r w:rsidRPr="00827C5E">
        <w:rPr>
          <w:rFonts w:ascii="Sylfaen" w:hAnsi="Sylfaen"/>
          <w:color w:val="538135" w:themeColor="accent6" w:themeShade="BF"/>
        </w:rPr>
        <w:t>pdf</w:t>
      </w:r>
      <w:r w:rsidRPr="00827C5E">
        <w:rPr>
          <w:rFonts w:ascii="Sylfaen" w:hAnsi="Sylfaen"/>
        </w:rPr>
        <w:t>)</w:t>
      </w:r>
    </w:p>
    <w:p w14:paraId="627BC73A" w14:textId="77777777" w:rsidR="00827C5E" w:rsidRPr="00827C5E" w:rsidRDefault="00827C5E" w:rsidP="00A95703">
      <w:pPr>
        <w:spacing w:after="0" w:line="360" w:lineRule="auto"/>
        <w:ind w:firstLine="720"/>
        <w:jc w:val="both"/>
        <w:rPr>
          <w:rFonts w:ascii="Sylfaen" w:hAnsi="Sylfaen"/>
        </w:rPr>
      </w:pPr>
    </w:p>
    <w:p w14:paraId="55875B90" w14:textId="77777777" w:rsidR="00827C5E" w:rsidRPr="00827C5E" w:rsidRDefault="00827C5E" w:rsidP="00A95703">
      <w:pPr>
        <w:spacing w:after="0" w:line="360" w:lineRule="auto"/>
        <w:ind w:firstLine="720"/>
        <w:jc w:val="both"/>
        <w:rPr>
          <w:rFonts w:ascii="Sylfaen" w:hAnsi="Sylfaen"/>
        </w:rPr>
      </w:pPr>
    </w:p>
    <w:p w14:paraId="29BF6CAD" w14:textId="77777777" w:rsidR="00827C5E" w:rsidRPr="00827C5E" w:rsidRDefault="00827C5E" w:rsidP="00827C5E">
      <w:pPr>
        <w:spacing w:after="0"/>
        <w:ind w:firstLine="720"/>
        <w:jc w:val="both"/>
        <w:rPr>
          <w:rFonts w:ascii="Sylfaen" w:hAnsi="Sylfaen"/>
          <w:color w:val="000000"/>
          <w:lang w:val="en-GB"/>
        </w:rPr>
      </w:pPr>
      <w:r w:rsidRPr="00827C5E">
        <w:rPr>
          <w:rStyle w:val="Strong"/>
          <w:rFonts w:ascii="Sylfaen" w:hAnsi="Sylfaen"/>
          <w:color w:val="000000"/>
          <w:lang w:val="en-GB"/>
        </w:rPr>
        <w:t>Passport compiled by</w:t>
      </w:r>
      <w:r w:rsidRPr="00827C5E">
        <w:rPr>
          <w:rFonts w:ascii="Sylfaen" w:hAnsi="Sylfaen"/>
          <w:color w:val="000000"/>
          <w:lang w:val="en-GB"/>
        </w:rPr>
        <w:t>: Nargiz Surmanidze, Academic Doctor of History, LEPL Ajara Museum - Amiran Kakhidze Ajara Archaeological Museum, Researcher</w:t>
      </w:r>
    </w:p>
    <w:p w14:paraId="30117DAA" w14:textId="77777777" w:rsidR="00063434" w:rsidRPr="00827C5E" w:rsidRDefault="00063434">
      <w:pPr>
        <w:rPr>
          <w:lang w:val="en-GB"/>
        </w:rPr>
      </w:pPr>
    </w:p>
    <w:sectPr w:rsidR="00063434" w:rsidRPr="00827C5E"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1C8"/>
    <w:rsid w:val="00063434"/>
    <w:rsid w:val="00595A5E"/>
    <w:rsid w:val="00827C5E"/>
    <w:rsid w:val="00835369"/>
    <w:rsid w:val="00854D0A"/>
    <w:rsid w:val="009D2FA5"/>
    <w:rsid w:val="00A92DE6"/>
    <w:rsid w:val="00A95703"/>
    <w:rsid w:val="00B90953"/>
    <w:rsid w:val="00DF3A38"/>
    <w:rsid w:val="00FD15FC"/>
    <w:rsid w:val="00FF11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3452B"/>
  <w15:chartTrackingRefBased/>
  <w15:docId w15:val="{8E288C18-683A-EA41-8AF9-4EBDF4142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1C8"/>
    <w:pPr>
      <w:spacing w:after="200" w:line="276" w:lineRule="auto"/>
    </w:pPr>
    <w:rPr>
      <w:rFonts w:eastAsiaTheme="minorEastAsia"/>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11C8"/>
    <w:rPr>
      <w:color w:val="0000FF"/>
      <w:u w:val="single"/>
    </w:rPr>
  </w:style>
  <w:style w:type="character" w:styleId="FollowedHyperlink">
    <w:name w:val="FollowedHyperlink"/>
    <w:basedOn w:val="DefaultParagraphFont"/>
    <w:uiPriority w:val="99"/>
    <w:semiHidden/>
    <w:unhideWhenUsed/>
    <w:rsid w:val="00FF11C8"/>
    <w:rPr>
      <w:color w:val="954F72" w:themeColor="followedHyperlink"/>
      <w:u w:val="single"/>
    </w:rPr>
  </w:style>
  <w:style w:type="character" w:styleId="UnresolvedMention">
    <w:name w:val="Unresolved Mention"/>
    <w:basedOn w:val="DefaultParagraphFont"/>
    <w:uiPriority w:val="99"/>
    <w:semiHidden/>
    <w:unhideWhenUsed/>
    <w:rsid w:val="00A92DE6"/>
    <w:rPr>
      <w:color w:val="605E5C"/>
      <w:shd w:val="clear" w:color="auto" w:fill="E1DFDD"/>
    </w:rPr>
  </w:style>
  <w:style w:type="character" w:styleId="Strong">
    <w:name w:val="Strong"/>
    <w:basedOn w:val="DefaultParagraphFont"/>
    <w:uiPriority w:val="22"/>
    <w:qFormat/>
    <w:rsid w:val="00827C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767</Words>
  <Characters>4373</Characters>
  <Application>Microsoft Office Word</Application>
  <DocSecurity>0</DocSecurity>
  <Lines>36</Lines>
  <Paragraphs>10</Paragraphs>
  <ScaleCrop>false</ScaleCrop>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9</cp:revision>
  <dcterms:created xsi:type="dcterms:W3CDTF">2026-04-30T20:37:00Z</dcterms:created>
  <dcterms:modified xsi:type="dcterms:W3CDTF">2026-07-28T13:40:00Z</dcterms:modified>
</cp:coreProperties>
</file>