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4F388" w14:textId="77777777" w:rsidR="00864685" w:rsidRPr="00440CB2" w:rsidRDefault="00864685" w:rsidP="00864685">
      <w:pPr>
        <w:spacing w:after="0" w:line="360" w:lineRule="auto"/>
        <w:jc w:val="center"/>
        <w:rPr>
          <w:rFonts w:ascii="Sylfaen" w:hAnsi="Sylfaen"/>
          <w:b/>
          <w:bCs/>
          <w:sz w:val="24"/>
          <w:szCs w:val="24"/>
          <w:lang w:val="en-GB"/>
        </w:rPr>
      </w:pPr>
      <w:r w:rsidRPr="00440CB2">
        <w:rPr>
          <w:rFonts w:ascii="Sylfaen" w:hAnsi="Sylfaen"/>
          <w:b/>
          <w:bCs/>
          <w:sz w:val="24"/>
          <w:szCs w:val="24"/>
          <w:lang w:val="en-GB"/>
        </w:rPr>
        <w:t>Passport of Archaeological Monument</w:t>
      </w:r>
    </w:p>
    <w:p w14:paraId="6FFF50A4" w14:textId="77777777" w:rsidR="00864685" w:rsidRPr="00440CB2" w:rsidRDefault="00864685" w:rsidP="00864685">
      <w:pPr>
        <w:spacing w:after="0" w:line="360" w:lineRule="auto"/>
        <w:jc w:val="center"/>
        <w:rPr>
          <w:rFonts w:ascii="Sylfaen" w:hAnsi="Sylfaen"/>
          <w:b/>
          <w:bCs/>
          <w:sz w:val="24"/>
          <w:szCs w:val="24"/>
          <w:lang w:val="en-GB"/>
        </w:rPr>
      </w:pPr>
    </w:p>
    <w:p w14:paraId="30C5922D" w14:textId="77777777" w:rsidR="00864685" w:rsidRPr="00440CB2" w:rsidRDefault="00864685" w:rsidP="00864685">
      <w:pPr>
        <w:tabs>
          <w:tab w:val="left" w:pos="360"/>
        </w:tabs>
        <w:spacing w:after="0" w:line="360" w:lineRule="auto"/>
        <w:ind w:firstLine="720"/>
        <w:jc w:val="both"/>
        <w:rPr>
          <w:rFonts w:ascii="Sylfaen" w:hAnsi="Sylfaen"/>
          <w:sz w:val="24"/>
          <w:szCs w:val="24"/>
          <w:lang w:val="en-GB"/>
        </w:rPr>
      </w:pPr>
      <w:r w:rsidRPr="00440CB2">
        <w:rPr>
          <w:rFonts w:ascii="Sylfaen" w:hAnsi="Sylfaen"/>
          <w:b/>
          <w:bCs/>
          <w:sz w:val="24"/>
          <w:szCs w:val="24"/>
          <w:lang w:val="en-GB"/>
        </w:rPr>
        <w:t>Name of archaeological site</w:t>
      </w:r>
      <w:r w:rsidRPr="00440CB2">
        <w:rPr>
          <w:rFonts w:ascii="Sylfaen" w:hAnsi="Sylfaen"/>
          <w:sz w:val="24"/>
          <w:szCs w:val="24"/>
          <w:lang w:val="en-GB"/>
        </w:rPr>
        <w:t>:</w:t>
      </w:r>
      <w:r w:rsidRPr="00440CB2">
        <w:rPr>
          <w:rFonts w:ascii="Sylfaen" w:hAnsi="Sylfaen"/>
          <w:lang w:val="en-GB"/>
        </w:rPr>
        <w:t xml:space="preserve"> </w:t>
      </w:r>
      <w:r w:rsidR="002A64EF" w:rsidRPr="00440CB2">
        <w:rPr>
          <w:rFonts w:ascii="Sylfaen" w:hAnsi="Sylfaen"/>
          <w:color w:val="000000"/>
          <w:sz w:val="24"/>
          <w:szCs w:val="24"/>
          <w:lang w:val="en-GB"/>
        </w:rPr>
        <w:t>The Peat-Buried Settlement of Ispan</w:t>
      </w:r>
      <w:r w:rsidR="00440CB2" w:rsidRPr="00440CB2">
        <w:rPr>
          <w:rFonts w:ascii="Sylfaen" w:hAnsi="Sylfaen"/>
          <w:color w:val="000000"/>
          <w:sz w:val="24"/>
          <w:szCs w:val="24"/>
          <w:lang w:val="en-GB"/>
        </w:rPr>
        <w:t>i</w:t>
      </w:r>
    </w:p>
    <w:p w14:paraId="268596CD" w14:textId="7BA3B18D" w:rsidR="0025679C" w:rsidRPr="00440CB2" w:rsidRDefault="00864685" w:rsidP="0025679C">
      <w:pPr>
        <w:tabs>
          <w:tab w:val="left" w:pos="360"/>
        </w:tabs>
        <w:spacing w:after="0" w:line="360" w:lineRule="auto"/>
        <w:ind w:firstLine="720"/>
        <w:jc w:val="both"/>
        <w:rPr>
          <w:rFonts w:ascii="Sylfaen" w:hAnsi="Sylfaen"/>
          <w:color w:val="000000"/>
          <w:sz w:val="24"/>
          <w:szCs w:val="24"/>
          <w:lang w:val="en-GB"/>
        </w:rPr>
      </w:pPr>
      <w:r w:rsidRPr="00440CB2">
        <w:rPr>
          <w:rFonts w:ascii="Sylfaen" w:hAnsi="Sylfaen"/>
          <w:b/>
          <w:bCs/>
          <w:sz w:val="24"/>
          <w:szCs w:val="24"/>
          <w:lang w:val="en-GB"/>
        </w:rPr>
        <w:t>Type of archaeological site:</w:t>
      </w:r>
      <w:r w:rsidRPr="00440CB2">
        <w:rPr>
          <w:rFonts w:ascii="Sylfaen" w:hAnsi="Sylfaen"/>
          <w:sz w:val="24"/>
          <w:szCs w:val="24"/>
          <w:lang w:val="en-GB"/>
        </w:rPr>
        <w:t xml:space="preserve"> </w:t>
      </w:r>
      <w:r w:rsidR="002A64EF" w:rsidRPr="00440CB2">
        <w:rPr>
          <w:rFonts w:ascii="Sylfaen" w:hAnsi="Sylfaen"/>
          <w:color w:val="000000"/>
          <w:sz w:val="24"/>
          <w:szCs w:val="24"/>
          <w:lang w:val="en-GB"/>
        </w:rPr>
        <w:t>settlement site</w:t>
      </w:r>
    </w:p>
    <w:p w14:paraId="6DF6F0C4" w14:textId="77777777" w:rsidR="00864685" w:rsidRPr="00440CB2" w:rsidRDefault="00864685" w:rsidP="0025679C">
      <w:pPr>
        <w:tabs>
          <w:tab w:val="left" w:pos="360"/>
        </w:tabs>
        <w:spacing w:after="0" w:line="360" w:lineRule="auto"/>
        <w:ind w:firstLine="720"/>
        <w:jc w:val="both"/>
        <w:rPr>
          <w:rFonts w:ascii="Sylfaen" w:hAnsi="Sylfaen"/>
          <w:sz w:val="24"/>
          <w:szCs w:val="24"/>
          <w:lang w:val="en-GB"/>
        </w:rPr>
      </w:pPr>
      <w:r w:rsidRPr="00440CB2">
        <w:rPr>
          <w:rFonts w:ascii="Sylfaen" w:hAnsi="Sylfaen"/>
          <w:b/>
          <w:bCs/>
          <w:sz w:val="24"/>
          <w:szCs w:val="24"/>
          <w:lang w:val="en-GB"/>
        </w:rPr>
        <w:t>Chronological attribution (historical era, exact date)</w:t>
      </w:r>
      <w:r w:rsidRPr="00440CB2">
        <w:rPr>
          <w:rFonts w:ascii="Sylfaen" w:hAnsi="Sylfaen"/>
          <w:sz w:val="24"/>
          <w:szCs w:val="24"/>
          <w:lang w:val="en-GB"/>
        </w:rPr>
        <w:t xml:space="preserve"> </w:t>
      </w:r>
      <w:r w:rsidR="0025679C" w:rsidRPr="00440CB2">
        <w:rPr>
          <w:rFonts w:ascii="Sylfaen" w:hAnsi="Sylfaen"/>
          <w:b/>
          <w:bCs/>
          <w:lang w:val="en-GB"/>
        </w:rPr>
        <w:t>-</w:t>
      </w:r>
      <w:r w:rsidR="0025679C" w:rsidRPr="00440CB2">
        <w:rPr>
          <w:rFonts w:ascii="Sylfaen" w:hAnsi="Sylfaen"/>
          <w:b/>
          <w:bCs/>
          <w:color w:val="000000"/>
          <w:lang w:val="en-GB"/>
        </w:rPr>
        <w:t xml:space="preserve"> </w:t>
      </w:r>
      <w:r w:rsidR="0025679C" w:rsidRPr="00440CB2">
        <w:rPr>
          <w:rStyle w:val="Strong"/>
          <w:rFonts w:ascii="Sylfaen" w:hAnsi="Sylfaen"/>
          <w:b w:val="0"/>
          <w:bCs w:val="0"/>
          <w:color w:val="000000"/>
          <w:lang w:val="en-GB"/>
        </w:rPr>
        <w:t>Early Bronze Age - late 4th millennium BC – first half of the 3rd millennium BC</w:t>
      </w:r>
      <w:r w:rsidR="0025679C" w:rsidRPr="00440CB2">
        <w:rPr>
          <w:rFonts w:ascii="Sylfaen" w:hAnsi="Sylfaen"/>
          <w:b/>
          <w:bCs/>
          <w:color w:val="000000"/>
          <w:lang w:val="en-GB"/>
        </w:rPr>
        <w:t>.</w:t>
      </w:r>
    </w:p>
    <w:p w14:paraId="357F752E" w14:textId="7DEB02F6" w:rsidR="00864685" w:rsidRPr="005A1781" w:rsidRDefault="00864685" w:rsidP="00864685">
      <w:pPr>
        <w:tabs>
          <w:tab w:val="left" w:pos="360"/>
        </w:tabs>
        <w:spacing w:after="0" w:line="360" w:lineRule="auto"/>
        <w:ind w:firstLine="720"/>
        <w:jc w:val="both"/>
        <w:rPr>
          <w:rFonts w:ascii="Sylfaen" w:hAnsi="Sylfaen"/>
          <w:sz w:val="24"/>
          <w:szCs w:val="24"/>
          <w:lang w:val="en-US"/>
        </w:rPr>
      </w:pPr>
      <w:r w:rsidRPr="00440CB2">
        <w:rPr>
          <w:rFonts w:ascii="Sylfaen" w:hAnsi="Sylfaen"/>
          <w:b/>
          <w:bCs/>
          <w:sz w:val="24"/>
          <w:szCs w:val="24"/>
          <w:lang w:val="en-GB"/>
        </w:rPr>
        <w:t>Address (municipality, city, village, valley, GPS Coordinates)</w:t>
      </w:r>
      <w:r w:rsidRPr="00440CB2">
        <w:rPr>
          <w:rFonts w:ascii="Sylfaen" w:hAnsi="Sylfaen"/>
          <w:sz w:val="24"/>
          <w:szCs w:val="24"/>
          <w:lang w:val="en-GB"/>
        </w:rPr>
        <w:t xml:space="preserve"> - </w:t>
      </w:r>
      <w:r w:rsidR="0025679C" w:rsidRPr="00440CB2">
        <w:rPr>
          <w:rFonts w:ascii="Sylfaen" w:hAnsi="Sylfaen"/>
          <w:sz w:val="24"/>
          <w:szCs w:val="24"/>
          <w:lang w:val="en-GB"/>
        </w:rPr>
        <w:t>Georgia, Kobuleti Municipality, Ispani</w:t>
      </w:r>
      <w:r w:rsidR="00904298">
        <w:rPr>
          <w:rFonts w:ascii="Sylfaen" w:hAnsi="Sylfaen"/>
          <w:sz w:val="24"/>
          <w:szCs w:val="24"/>
          <w:lang w:val="en-GB"/>
        </w:rPr>
        <w:t xml:space="preserve">, </w:t>
      </w:r>
      <w:r w:rsidR="005A1781">
        <w:rPr>
          <w:rFonts w:ascii="Sylfaen" w:hAnsi="Sylfaen"/>
          <w:sz w:val="24"/>
          <w:szCs w:val="24"/>
          <w:lang w:val="en-GB"/>
        </w:rPr>
        <w:t xml:space="preserve">GPS </w:t>
      </w:r>
      <w:r w:rsidR="005A1781" w:rsidRPr="005A1781">
        <w:rPr>
          <w:rFonts w:ascii="Sylfaen" w:hAnsi="Sylfaen"/>
          <w:sz w:val="24"/>
          <w:szCs w:val="24"/>
          <w:lang w:val="en-US"/>
        </w:rPr>
        <w:t>41˚52'630'' N 41˚47'052'' E</w:t>
      </w:r>
    </w:p>
    <w:p w14:paraId="75BF47CA" w14:textId="77777777" w:rsidR="0025679C" w:rsidRPr="00440CB2" w:rsidRDefault="00864685" w:rsidP="0025679C">
      <w:pPr>
        <w:spacing w:after="0" w:line="360" w:lineRule="auto"/>
        <w:ind w:firstLine="720"/>
        <w:jc w:val="both"/>
        <w:rPr>
          <w:rFonts w:ascii="Sylfaen" w:hAnsi="Sylfaen"/>
          <w:b/>
          <w:bCs/>
          <w:sz w:val="24"/>
          <w:szCs w:val="24"/>
          <w:lang w:val="en-GB"/>
        </w:rPr>
      </w:pPr>
      <w:r w:rsidRPr="00440CB2">
        <w:rPr>
          <w:rFonts w:ascii="Sylfaen" w:hAnsi="Sylfaen"/>
          <w:b/>
          <w:bCs/>
          <w:sz w:val="24"/>
          <w:szCs w:val="24"/>
          <w:lang w:val="en-GB"/>
        </w:rPr>
        <w:t>History of study/research (circumstances of discovery, studies conducted on the monument, researchers working on the monument, bibliography):</w:t>
      </w:r>
    </w:p>
    <w:p w14:paraId="463207AB" w14:textId="77777777" w:rsidR="0025679C" w:rsidRPr="00440CB2" w:rsidRDefault="0025679C" w:rsidP="0025679C">
      <w:pPr>
        <w:spacing w:after="0" w:line="360" w:lineRule="auto"/>
        <w:ind w:firstLine="720"/>
        <w:jc w:val="both"/>
        <w:rPr>
          <w:rFonts w:ascii="Sylfaen" w:hAnsi="Sylfaen"/>
          <w:color w:val="000000"/>
          <w:sz w:val="24"/>
          <w:szCs w:val="24"/>
          <w:lang w:val="en-GB"/>
        </w:rPr>
      </w:pPr>
      <w:r w:rsidRPr="00440CB2">
        <w:rPr>
          <w:rStyle w:val="Strong"/>
          <w:rFonts w:ascii="Sylfaen" w:hAnsi="Sylfaen"/>
          <w:color w:val="000000"/>
          <w:sz w:val="24"/>
          <w:szCs w:val="24"/>
          <w:lang w:val="en-GB"/>
        </w:rPr>
        <w:t xml:space="preserve">Circumstances of Discovery: </w:t>
      </w:r>
      <w:r w:rsidRPr="00440CB2">
        <w:rPr>
          <w:rFonts w:ascii="Sylfaen" w:hAnsi="Sylfaen"/>
          <w:color w:val="000000"/>
          <w:sz w:val="24"/>
          <w:szCs w:val="24"/>
          <w:lang w:val="en-GB"/>
        </w:rPr>
        <w:t>In 1964, during the construction of a drainage canal intended to dry the Ispani peat bog, a number of archaeological remains were discovered beneath the peat layer at a depth of approximately 2 metres. The finds included stone querns, handstones, pounders, grinding slabs, pebble loom weights used as net sinkers, sling stones, a stone axe, flint flakes, arrowheads, and sickle inserts, among other artifacts. In several sections of the excavated deposits removed from the canal, traces of hearths were visible. Within the carbonized ash were found remains of chestnuts, acorns, buckwheat, and hazelnut shells, providing valuable evidence of the subsistence practices of the site's inhabitants.</w:t>
      </w:r>
    </w:p>
    <w:p w14:paraId="085D0B8F" w14:textId="6B5CB7B1" w:rsidR="00F832CC" w:rsidRPr="00440CB2" w:rsidRDefault="0025679C" w:rsidP="00F832CC">
      <w:pPr>
        <w:spacing w:after="0" w:line="360" w:lineRule="auto"/>
        <w:ind w:firstLine="720"/>
        <w:jc w:val="both"/>
        <w:rPr>
          <w:rFonts w:ascii="Sylfaen" w:hAnsi="Sylfaen"/>
          <w:color w:val="000000"/>
          <w:sz w:val="24"/>
          <w:szCs w:val="24"/>
          <w:lang w:val="en-GB"/>
        </w:rPr>
      </w:pPr>
      <w:r w:rsidRPr="00440CB2">
        <w:rPr>
          <w:rStyle w:val="Strong"/>
          <w:rFonts w:ascii="Sylfaen" w:hAnsi="Sylfaen"/>
          <w:color w:val="000000"/>
          <w:sz w:val="24"/>
          <w:szCs w:val="24"/>
          <w:lang w:val="en-GB"/>
        </w:rPr>
        <w:t xml:space="preserve">Archaeological Investigations Conducted at the Site: </w:t>
      </w:r>
      <w:r w:rsidRPr="00440CB2">
        <w:rPr>
          <w:rFonts w:ascii="Sylfaen" w:hAnsi="Sylfaen"/>
          <w:color w:val="000000"/>
          <w:sz w:val="24"/>
          <w:szCs w:val="24"/>
          <w:lang w:val="en-GB"/>
        </w:rPr>
        <w:t>Between 1971 and 1974, archaeological excavations were carried out at the Ispani peat-buried settlement by a joint expedition of the</w:t>
      </w:r>
      <w:r w:rsidRPr="00440CB2">
        <w:rPr>
          <w:rStyle w:val="apple-converted-space"/>
          <w:rFonts w:ascii="Sylfaen" w:hAnsi="Sylfaen"/>
          <w:color w:val="000000"/>
          <w:sz w:val="24"/>
          <w:szCs w:val="24"/>
          <w:lang w:val="en-GB"/>
        </w:rPr>
        <w:t> </w:t>
      </w:r>
      <w:r w:rsidRPr="00440CB2">
        <w:rPr>
          <w:rStyle w:val="Strong"/>
          <w:rFonts w:ascii="Sylfaen" w:hAnsi="Sylfaen"/>
          <w:b w:val="0"/>
          <w:bCs w:val="0"/>
          <w:color w:val="000000"/>
          <w:sz w:val="24"/>
          <w:szCs w:val="24"/>
          <w:lang w:val="en-GB"/>
        </w:rPr>
        <w:t>Georgian Academy of Sciences</w:t>
      </w:r>
      <w:r w:rsidRPr="00440CB2">
        <w:rPr>
          <w:rStyle w:val="apple-converted-space"/>
          <w:rFonts w:ascii="Sylfaen" w:hAnsi="Sylfaen"/>
          <w:color w:val="000000"/>
          <w:sz w:val="24"/>
          <w:szCs w:val="24"/>
          <w:lang w:val="en-GB"/>
        </w:rPr>
        <w:t> </w:t>
      </w:r>
      <w:r w:rsidRPr="00440CB2">
        <w:rPr>
          <w:rFonts w:ascii="Sylfaen" w:hAnsi="Sylfaen"/>
          <w:color w:val="000000"/>
          <w:sz w:val="24"/>
          <w:szCs w:val="24"/>
          <w:lang w:val="en-GB"/>
        </w:rPr>
        <w:t>and the</w:t>
      </w:r>
      <w:r w:rsidRPr="00440CB2">
        <w:rPr>
          <w:rStyle w:val="apple-converted-space"/>
          <w:rFonts w:ascii="Sylfaen" w:hAnsi="Sylfaen"/>
          <w:b/>
          <w:bCs/>
          <w:color w:val="000000"/>
          <w:sz w:val="24"/>
          <w:szCs w:val="24"/>
          <w:lang w:val="en-GB"/>
        </w:rPr>
        <w:t> </w:t>
      </w:r>
      <w:r w:rsidRPr="00440CB2">
        <w:rPr>
          <w:rStyle w:val="Strong"/>
          <w:rFonts w:ascii="Sylfaen" w:hAnsi="Sylfaen"/>
          <w:b w:val="0"/>
          <w:bCs w:val="0"/>
          <w:color w:val="000000"/>
          <w:sz w:val="24"/>
          <w:szCs w:val="24"/>
          <w:lang w:val="en-GB"/>
        </w:rPr>
        <w:t>Niko Berdzenishvili Research Institute</w:t>
      </w:r>
      <w:r w:rsidRPr="00440CB2">
        <w:rPr>
          <w:rFonts w:ascii="Sylfaen" w:hAnsi="Sylfaen"/>
          <w:color w:val="000000"/>
          <w:sz w:val="24"/>
          <w:szCs w:val="24"/>
          <w:lang w:val="en-GB"/>
        </w:rPr>
        <w:t>, under the direction of</w:t>
      </w:r>
      <w:r w:rsidRPr="00440CB2">
        <w:rPr>
          <w:rStyle w:val="apple-converted-space"/>
          <w:rFonts w:ascii="Sylfaen" w:hAnsi="Sylfaen"/>
          <w:color w:val="000000"/>
          <w:sz w:val="24"/>
          <w:szCs w:val="24"/>
          <w:lang w:val="en-GB"/>
        </w:rPr>
        <w:t> </w:t>
      </w:r>
      <w:r w:rsidRPr="00F135E3">
        <w:rPr>
          <w:rStyle w:val="Strong"/>
          <w:rFonts w:ascii="Sylfaen" w:hAnsi="Sylfaen"/>
          <w:color w:val="EE0000"/>
          <w:sz w:val="24"/>
          <w:szCs w:val="24"/>
          <w:lang w:val="en-GB"/>
        </w:rPr>
        <w:t>Aslan Inaishvili</w:t>
      </w:r>
      <w:r w:rsidRPr="00440CB2">
        <w:rPr>
          <w:rFonts w:ascii="Sylfaen" w:hAnsi="Sylfaen"/>
          <w:color w:val="000000"/>
          <w:sz w:val="24"/>
          <w:szCs w:val="24"/>
          <w:lang w:val="en-GB"/>
        </w:rPr>
        <w:t>. The investigation initially focused on the soil deposits excavated during the construction of drainage canals in the peat bog. In order to establish the site's stratigraphic sequence, three test trenches measuring</w:t>
      </w:r>
      <w:r w:rsidRPr="00440CB2">
        <w:rPr>
          <w:rStyle w:val="apple-converted-space"/>
          <w:rFonts w:ascii="Sylfaen" w:hAnsi="Sylfaen"/>
          <w:color w:val="000000"/>
          <w:sz w:val="24"/>
          <w:szCs w:val="24"/>
          <w:lang w:val="en-GB"/>
        </w:rPr>
        <w:t> </w:t>
      </w:r>
      <w:r w:rsidRPr="00440CB2">
        <w:rPr>
          <w:rStyle w:val="Strong"/>
          <w:rFonts w:ascii="Sylfaen" w:hAnsi="Sylfaen"/>
          <w:b w:val="0"/>
          <w:bCs w:val="0"/>
          <w:color w:val="000000"/>
          <w:sz w:val="24"/>
          <w:szCs w:val="24"/>
          <w:lang w:val="en-GB"/>
        </w:rPr>
        <w:t>6 × 2 m</w:t>
      </w:r>
      <w:r w:rsidRPr="00440CB2">
        <w:rPr>
          <w:rStyle w:val="apple-converted-space"/>
          <w:rFonts w:ascii="Sylfaen" w:hAnsi="Sylfaen"/>
          <w:color w:val="000000"/>
          <w:sz w:val="24"/>
          <w:szCs w:val="24"/>
          <w:lang w:val="en-GB"/>
        </w:rPr>
        <w:t> </w:t>
      </w:r>
      <w:r w:rsidRPr="00440CB2">
        <w:rPr>
          <w:rFonts w:ascii="Sylfaen" w:hAnsi="Sylfaen"/>
          <w:color w:val="000000"/>
          <w:sz w:val="24"/>
          <w:szCs w:val="24"/>
          <w:lang w:val="en-GB"/>
        </w:rPr>
        <w:t>were opened.</w:t>
      </w:r>
      <w:r w:rsidR="00F832CC" w:rsidRPr="00440CB2">
        <w:rPr>
          <w:rFonts w:ascii="Sylfaen" w:hAnsi="Sylfaen"/>
          <w:color w:val="000000"/>
          <w:sz w:val="24"/>
          <w:szCs w:val="24"/>
          <w:lang w:val="en-GB"/>
        </w:rPr>
        <w:t xml:space="preserve"> </w:t>
      </w:r>
      <w:r w:rsidRPr="00440CB2">
        <w:rPr>
          <w:rFonts w:ascii="Sylfaen" w:hAnsi="Sylfaen"/>
          <w:color w:val="000000"/>
          <w:sz w:val="24"/>
          <w:szCs w:val="24"/>
          <w:lang w:val="en-GB"/>
        </w:rPr>
        <w:t>The excavations revealed that the upper peat layer, approximately</w:t>
      </w:r>
      <w:r w:rsidRPr="00440CB2">
        <w:rPr>
          <w:rStyle w:val="apple-converted-space"/>
          <w:rFonts w:ascii="Sylfaen" w:hAnsi="Sylfaen"/>
          <w:color w:val="000000"/>
          <w:sz w:val="24"/>
          <w:szCs w:val="24"/>
          <w:lang w:val="en-GB"/>
        </w:rPr>
        <w:t> </w:t>
      </w:r>
      <w:r w:rsidRPr="00440CB2">
        <w:rPr>
          <w:rStyle w:val="Strong"/>
          <w:rFonts w:ascii="Sylfaen" w:hAnsi="Sylfaen"/>
          <w:b w:val="0"/>
          <w:bCs w:val="0"/>
          <w:color w:val="000000"/>
          <w:sz w:val="24"/>
          <w:szCs w:val="24"/>
          <w:lang w:val="en-GB"/>
        </w:rPr>
        <w:t>1 m thick</w:t>
      </w:r>
      <w:r w:rsidRPr="00440CB2">
        <w:rPr>
          <w:rFonts w:ascii="Sylfaen" w:hAnsi="Sylfaen"/>
          <w:color w:val="000000"/>
          <w:sz w:val="24"/>
          <w:szCs w:val="24"/>
          <w:lang w:val="en-GB"/>
        </w:rPr>
        <w:t xml:space="preserve">, contained no archaeological artifacts and consisted solely of preserved wood remains. Beneath the peat deposit, a cultural layer was identified and divided into two levels: an upper clayey layer </w:t>
      </w:r>
      <w:r w:rsidRPr="00440CB2">
        <w:rPr>
          <w:rFonts w:ascii="Sylfaen" w:hAnsi="Sylfaen"/>
          <w:color w:val="000000"/>
          <w:sz w:val="24"/>
          <w:szCs w:val="24"/>
          <w:lang w:val="en-GB"/>
        </w:rPr>
        <w:lastRenderedPageBreak/>
        <w:t>approximately</w:t>
      </w:r>
      <w:r w:rsidRPr="00440CB2">
        <w:rPr>
          <w:rStyle w:val="apple-converted-space"/>
          <w:rFonts w:ascii="Sylfaen" w:hAnsi="Sylfaen"/>
          <w:color w:val="000000"/>
          <w:sz w:val="24"/>
          <w:szCs w:val="24"/>
          <w:lang w:val="en-GB"/>
        </w:rPr>
        <w:t> </w:t>
      </w:r>
      <w:r w:rsidRPr="00440CB2">
        <w:rPr>
          <w:rStyle w:val="Strong"/>
          <w:rFonts w:ascii="Sylfaen" w:hAnsi="Sylfaen"/>
          <w:b w:val="0"/>
          <w:bCs w:val="0"/>
          <w:color w:val="000000"/>
          <w:sz w:val="24"/>
          <w:szCs w:val="24"/>
          <w:lang w:val="en-GB"/>
        </w:rPr>
        <w:t>30 cm</w:t>
      </w:r>
      <w:r w:rsidRPr="00440CB2">
        <w:rPr>
          <w:rStyle w:val="apple-converted-space"/>
          <w:rFonts w:ascii="Sylfaen" w:hAnsi="Sylfaen"/>
          <w:color w:val="000000"/>
          <w:sz w:val="24"/>
          <w:szCs w:val="24"/>
          <w:lang w:val="en-GB"/>
        </w:rPr>
        <w:t> </w:t>
      </w:r>
      <w:r w:rsidRPr="00440CB2">
        <w:rPr>
          <w:rFonts w:ascii="Sylfaen" w:hAnsi="Sylfaen"/>
          <w:color w:val="000000"/>
          <w:sz w:val="24"/>
          <w:szCs w:val="24"/>
          <w:lang w:val="en-GB"/>
        </w:rPr>
        <w:t>thick and a lower silty layer approximately</w:t>
      </w:r>
      <w:r w:rsidRPr="00440CB2">
        <w:rPr>
          <w:rStyle w:val="apple-converted-space"/>
          <w:rFonts w:ascii="Sylfaen" w:hAnsi="Sylfaen"/>
          <w:color w:val="000000"/>
          <w:sz w:val="24"/>
          <w:szCs w:val="24"/>
          <w:lang w:val="en-GB"/>
        </w:rPr>
        <w:t> </w:t>
      </w:r>
      <w:r w:rsidRPr="00440CB2">
        <w:rPr>
          <w:rStyle w:val="Strong"/>
          <w:rFonts w:ascii="Sylfaen" w:hAnsi="Sylfaen"/>
          <w:b w:val="0"/>
          <w:bCs w:val="0"/>
          <w:color w:val="000000"/>
          <w:sz w:val="24"/>
          <w:szCs w:val="24"/>
          <w:lang w:val="en-GB"/>
        </w:rPr>
        <w:t>145 cm</w:t>
      </w:r>
      <w:r w:rsidRPr="00440CB2">
        <w:rPr>
          <w:rStyle w:val="apple-converted-space"/>
          <w:rFonts w:ascii="Sylfaen" w:hAnsi="Sylfaen"/>
          <w:color w:val="000000"/>
          <w:sz w:val="24"/>
          <w:szCs w:val="24"/>
          <w:lang w:val="en-GB"/>
        </w:rPr>
        <w:t> </w:t>
      </w:r>
      <w:r w:rsidRPr="00440CB2">
        <w:rPr>
          <w:rFonts w:ascii="Sylfaen" w:hAnsi="Sylfaen"/>
          <w:color w:val="000000"/>
          <w:sz w:val="24"/>
          <w:szCs w:val="24"/>
          <w:lang w:val="en-GB"/>
        </w:rPr>
        <w:t>thick.</w:t>
      </w:r>
      <w:r w:rsidR="00F832CC" w:rsidRPr="00440CB2">
        <w:rPr>
          <w:rFonts w:ascii="Sylfaen" w:hAnsi="Sylfaen"/>
          <w:color w:val="000000"/>
          <w:sz w:val="24"/>
          <w:szCs w:val="24"/>
          <w:lang w:val="en-GB"/>
        </w:rPr>
        <w:t xml:space="preserve"> </w:t>
      </w:r>
      <w:r w:rsidRPr="00440CB2">
        <w:rPr>
          <w:rFonts w:ascii="Sylfaen" w:hAnsi="Sylfaen"/>
          <w:color w:val="000000"/>
          <w:sz w:val="24"/>
          <w:szCs w:val="24"/>
          <w:lang w:val="en-GB"/>
        </w:rPr>
        <w:t xml:space="preserve">Remains of a pile-supported structure </w:t>
      </w:r>
      <w:r w:rsidR="00C47282">
        <w:rPr>
          <w:rFonts w:ascii="Sylfaen" w:hAnsi="Sylfaen"/>
          <w:color w:val="000000"/>
          <w:sz w:val="24"/>
          <w:szCs w:val="24"/>
          <w:lang w:val="en-GB"/>
        </w:rPr>
        <w:t>(</w:t>
      </w:r>
      <w:r w:rsidR="00962395">
        <w:rPr>
          <w:rFonts w:ascii="Sylfaen" w:hAnsi="Sylfaen"/>
          <w:color w:val="000000"/>
          <w:sz w:val="24"/>
          <w:szCs w:val="24"/>
          <w:lang w:val="en-GB"/>
        </w:rPr>
        <w:t xml:space="preserve">round </w:t>
      </w:r>
      <w:r w:rsidR="00C47282">
        <w:rPr>
          <w:rFonts w:ascii="Sylfaen" w:hAnsi="Sylfaen"/>
          <w:color w:val="000000"/>
          <w:sz w:val="24"/>
          <w:szCs w:val="24"/>
          <w:lang w:val="en-US"/>
        </w:rPr>
        <w:t>log structure/blockwork</w:t>
      </w:r>
      <w:r w:rsidR="00C47282">
        <w:rPr>
          <w:rFonts w:ascii="Sylfaen" w:hAnsi="Sylfaen"/>
          <w:color w:val="000000"/>
          <w:sz w:val="24"/>
          <w:szCs w:val="24"/>
          <w:lang w:val="en-GB"/>
        </w:rPr>
        <w:t xml:space="preserve">) </w:t>
      </w:r>
      <w:r w:rsidRPr="00440CB2">
        <w:rPr>
          <w:rFonts w:ascii="Sylfaen" w:hAnsi="Sylfaen"/>
          <w:color w:val="000000"/>
          <w:sz w:val="24"/>
          <w:szCs w:val="24"/>
          <w:lang w:val="en-GB"/>
        </w:rPr>
        <w:t>were preserved within the clayey layer. Wooden p</w:t>
      </w:r>
      <w:r w:rsidR="0046446C">
        <w:rPr>
          <w:rFonts w:ascii="Sylfaen" w:hAnsi="Sylfaen"/>
          <w:color w:val="000000"/>
          <w:sz w:val="24"/>
          <w:szCs w:val="24"/>
          <w:lang w:val="en-GB"/>
        </w:rPr>
        <w:t>ile</w:t>
      </w:r>
      <w:r w:rsidRPr="00440CB2">
        <w:rPr>
          <w:rFonts w:ascii="Sylfaen" w:hAnsi="Sylfaen"/>
          <w:color w:val="000000"/>
          <w:sz w:val="24"/>
          <w:szCs w:val="24"/>
          <w:lang w:val="en-GB"/>
        </w:rPr>
        <w:t>s, 10–15 cm in diameter, had been vertically inserted into pits dug into the ground. These p</w:t>
      </w:r>
      <w:r w:rsidR="0046446C">
        <w:rPr>
          <w:rFonts w:ascii="Sylfaen" w:hAnsi="Sylfaen"/>
          <w:color w:val="000000"/>
          <w:sz w:val="24"/>
          <w:szCs w:val="24"/>
          <w:lang w:val="en-US"/>
        </w:rPr>
        <w:t>ile</w:t>
      </w:r>
      <w:r w:rsidRPr="00440CB2">
        <w:rPr>
          <w:rFonts w:ascii="Sylfaen" w:hAnsi="Sylfaen"/>
          <w:color w:val="000000"/>
          <w:sz w:val="24"/>
          <w:szCs w:val="24"/>
          <w:lang w:val="en-GB"/>
        </w:rPr>
        <w:t>s likely supported a</w:t>
      </w:r>
      <w:r w:rsidRPr="00440CB2">
        <w:rPr>
          <w:rStyle w:val="apple-converted-space"/>
          <w:rFonts w:ascii="Sylfaen" w:hAnsi="Sylfaen"/>
          <w:color w:val="000000"/>
          <w:sz w:val="24"/>
          <w:szCs w:val="24"/>
          <w:lang w:val="en-GB"/>
        </w:rPr>
        <w:t> </w:t>
      </w:r>
      <w:r w:rsidRPr="00440CB2">
        <w:rPr>
          <w:rStyle w:val="Strong"/>
          <w:rFonts w:ascii="Sylfaen" w:hAnsi="Sylfaen"/>
          <w:b w:val="0"/>
          <w:bCs w:val="0"/>
          <w:color w:val="000000"/>
          <w:sz w:val="24"/>
          <w:szCs w:val="24"/>
          <w:lang w:val="en-GB"/>
        </w:rPr>
        <w:t>wattle-and-daub type building</w:t>
      </w:r>
      <w:r w:rsidRPr="00440CB2">
        <w:rPr>
          <w:rFonts w:ascii="Sylfaen" w:hAnsi="Sylfaen"/>
          <w:color w:val="000000"/>
          <w:sz w:val="24"/>
          <w:szCs w:val="24"/>
          <w:lang w:val="en-GB"/>
        </w:rPr>
        <w:t>. The structures associated with the lower level, by contrast, were of</w:t>
      </w:r>
      <w:r w:rsidRPr="00440CB2">
        <w:rPr>
          <w:rStyle w:val="Strong"/>
          <w:rFonts w:ascii="Sylfaen" w:hAnsi="Sylfaen"/>
          <w:b w:val="0"/>
          <w:bCs w:val="0"/>
          <w:color w:val="000000"/>
          <w:sz w:val="24"/>
          <w:szCs w:val="24"/>
          <w:lang w:val="en-GB"/>
        </w:rPr>
        <w:t xml:space="preserve"> timber </w:t>
      </w:r>
      <w:r w:rsidR="00962395">
        <w:rPr>
          <w:rStyle w:val="Strong"/>
          <w:rFonts w:ascii="Sylfaen" w:hAnsi="Sylfaen"/>
          <w:b w:val="0"/>
          <w:bCs w:val="0"/>
          <w:color w:val="000000"/>
          <w:sz w:val="24"/>
          <w:szCs w:val="24"/>
          <w:lang w:val="en-GB"/>
        </w:rPr>
        <w:t xml:space="preserve">frame </w:t>
      </w:r>
      <w:r w:rsidRPr="00440CB2">
        <w:rPr>
          <w:rStyle w:val="Strong"/>
          <w:rFonts w:ascii="Sylfaen" w:hAnsi="Sylfaen"/>
          <w:b w:val="0"/>
          <w:bCs w:val="0"/>
          <w:color w:val="000000"/>
          <w:sz w:val="24"/>
          <w:szCs w:val="24"/>
          <w:lang w:val="en-GB"/>
        </w:rPr>
        <w:t>construction</w:t>
      </w:r>
      <w:r w:rsidRPr="00440CB2">
        <w:rPr>
          <w:rStyle w:val="apple-converted-space"/>
          <w:rFonts w:ascii="Sylfaen" w:hAnsi="Sylfaen"/>
          <w:color w:val="000000"/>
          <w:sz w:val="24"/>
          <w:szCs w:val="24"/>
          <w:lang w:val="en-GB"/>
        </w:rPr>
        <w:t> </w:t>
      </w:r>
      <w:r w:rsidRPr="00440CB2">
        <w:rPr>
          <w:rFonts w:ascii="Sylfaen" w:hAnsi="Sylfaen"/>
          <w:color w:val="000000"/>
          <w:sz w:val="24"/>
          <w:szCs w:val="24"/>
          <w:lang w:val="en-GB"/>
        </w:rPr>
        <w:t>(</w:t>
      </w:r>
      <w:r w:rsidR="00F832CC" w:rsidRPr="00F135E3">
        <w:rPr>
          <w:rFonts w:ascii="Sylfaen" w:hAnsi="Sylfaen"/>
          <w:color w:val="4472C4" w:themeColor="accent1"/>
          <w:sz w:val="24"/>
          <w:szCs w:val="24"/>
          <w:lang w:val="en-GB"/>
        </w:rPr>
        <w:t>Tab</w:t>
      </w:r>
      <w:r w:rsidRPr="00F135E3">
        <w:rPr>
          <w:rFonts w:ascii="Sylfaen" w:hAnsi="Sylfaen"/>
          <w:color w:val="4472C4" w:themeColor="accent1"/>
          <w:sz w:val="24"/>
          <w:szCs w:val="24"/>
          <w:lang w:val="en-GB"/>
        </w:rPr>
        <w:t>. I/1</w:t>
      </w:r>
      <w:r w:rsidRPr="00440CB2">
        <w:rPr>
          <w:rFonts w:ascii="Sylfaen" w:hAnsi="Sylfaen"/>
          <w:color w:val="000000"/>
          <w:sz w:val="24"/>
          <w:szCs w:val="24"/>
          <w:lang w:val="en-GB"/>
        </w:rPr>
        <w:t>).</w:t>
      </w:r>
    </w:p>
    <w:p w14:paraId="749117A8" w14:textId="77777777" w:rsidR="001E0103" w:rsidRPr="00440CB2" w:rsidRDefault="00F832CC" w:rsidP="001E0103">
      <w:pPr>
        <w:spacing w:after="0" w:line="360" w:lineRule="auto"/>
        <w:ind w:firstLine="720"/>
        <w:jc w:val="both"/>
        <w:rPr>
          <w:rFonts w:ascii="Sylfaen" w:hAnsi="Sylfaen"/>
          <w:color w:val="000000"/>
          <w:sz w:val="24"/>
          <w:szCs w:val="24"/>
          <w:lang w:val="en-GB"/>
        </w:rPr>
      </w:pPr>
      <w:r w:rsidRPr="00440CB2">
        <w:rPr>
          <w:rFonts w:ascii="Sylfaen" w:hAnsi="Sylfaen"/>
          <w:color w:val="000000"/>
          <w:sz w:val="24"/>
          <w:szCs w:val="24"/>
          <w:lang w:val="en-GB"/>
        </w:rPr>
        <w:t>Excavations at the settlement yielded a large quantity of ceramic material (</w:t>
      </w:r>
      <w:r w:rsidRPr="00962395">
        <w:rPr>
          <w:rFonts w:ascii="Sylfaen" w:hAnsi="Sylfaen"/>
          <w:color w:val="4472C4" w:themeColor="accent1"/>
          <w:sz w:val="24"/>
          <w:szCs w:val="24"/>
          <w:lang w:val="en-GB"/>
        </w:rPr>
        <w:t>Tab. II–III</w:t>
      </w:r>
      <w:r w:rsidRPr="00440CB2">
        <w:rPr>
          <w:rFonts w:ascii="Sylfaen" w:hAnsi="Sylfaen"/>
          <w:color w:val="000000"/>
          <w:sz w:val="24"/>
          <w:szCs w:val="24"/>
          <w:lang w:val="en-GB"/>
        </w:rPr>
        <w:t>). Among the finds are both fragmentary and complete examples of domestic and cooking vessels. The assemblage includes vessels with flat and convex bases. Alongside handles with a flat cross-section attached to the rim and shoulder area, there are also examples featuring massive loop-shaped handles attached to the body of the vessel. The forms of large storage and utility vessels are often replicated in smaller tableware intended for everyday use. A variety of decorative motifs were employed, including horizontal bands, elongated lines, pronounced chevron patterns, relief bands, and other ornamental elements. The assemblage also includes fragments of black-burnished pottery, which exhibit close similarities to the later ceramic traditions of the Kura–Araxes culture.</w:t>
      </w:r>
    </w:p>
    <w:p w14:paraId="7D457666" w14:textId="77777777" w:rsidR="001E0103" w:rsidRPr="00440CB2" w:rsidRDefault="001E0103" w:rsidP="001E0103">
      <w:pPr>
        <w:spacing w:after="0" w:line="360" w:lineRule="auto"/>
        <w:ind w:firstLine="720"/>
        <w:jc w:val="both"/>
        <w:rPr>
          <w:rFonts w:ascii="Sylfaen" w:hAnsi="Sylfaen"/>
          <w:color w:val="000000"/>
          <w:sz w:val="24"/>
          <w:szCs w:val="24"/>
          <w:lang w:val="en-GB"/>
        </w:rPr>
      </w:pPr>
      <w:r w:rsidRPr="00440CB2">
        <w:rPr>
          <w:rFonts w:ascii="Sylfaen" w:hAnsi="Sylfaen"/>
          <w:color w:val="000000"/>
          <w:sz w:val="24"/>
          <w:szCs w:val="24"/>
          <w:lang w:val="en-GB"/>
        </w:rPr>
        <w:t>The ceramic assemblage from Ispani represents one of the earliest stages in the development of Eneolithic and Early Bronze Age pottery traditions in western Transcaucasia, particularly within the region of Colchis. It shows close affinities with materials recovered from other coastal Colchian sites, such as Dikhagudzuba and Ochamchire. It has also been suggested that some of the pottery, particularly in terms of its decorative motifs, displays certain similarities to ceramic traditions of northern and central Anatolia. These parallels may reflect cultural contacts and interactions between the populations of the eastern Black Sea region and Anatolia during the Eneolithic and Early Bronze Age periods.</w:t>
      </w:r>
    </w:p>
    <w:p w14:paraId="6CDC1652" w14:textId="77777777" w:rsidR="001E0103" w:rsidRPr="00440CB2" w:rsidRDefault="001E0103" w:rsidP="001E0103">
      <w:pPr>
        <w:spacing w:after="0" w:line="360" w:lineRule="auto"/>
        <w:ind w:firstLine="720"/>
        <w:jc w:val="both"/>
        <w:rPr>
          <w:rFonts w:ascii="Sylfaen" w:hAnsi="Sylfaen"/>
          <w:color w:val="000000"/>
          <w:sz w:val="24"/>
          <w:szCs w:val="24"/>
          <w:lang w:val="en-GB"/>
        </w:rPr>
      </w:pPr>
      <w:r w:rsidRPr="00440CB2">
        <w:rPr>
          <w:rFonts w:ascii="Sylfaen" w:hAnsi="Sylfaen"/>
          <w:color w:val="000000"/>
          <w:sz w:val="24"/>
          <w:szCs w:val="24"/>
          <w:lang w:val="en-GB"/>
        </w:rPr>
        <w:t>Among the ceramic artifacts recovered from the settlement is a sculptural representation of a female figure of cult significance (</w:t>
      </w:r>
      <w:r w:rsidRPr="00962395">
        <w:rPr>
          <w:rFonts w:ascii="Sylfaen" w:hAnsi="Sylfaen"/>
          <w:color w:val="4472C4" w:themeColor="accent1"/>
          <w:sz w:val="24"/>
          <w:szCs w:val="24"/>
          <w:lang w:val="en-GB"/>
        </w:rPr>
        <w:t>Tab. I/8</w:t>
      </w:r>
      <w:r w:rsidRPr="00440CB2">
        <w:rPr>
          <w:rFonts w:ascii="Sylfaen" w:hAnsi="Sylfaen"/>
          <w:color w:val="000000"/>
          <w:sz w:val="24"/>
          <w:szCs w:val="24"/>
          <w:lang w:val="en-GB"/>
        </w:rPr>
        <w:t xml:space="preserve">), believed to embody the protective forces of fertility and reproduction. Similar figurines are widely known throughout the Ancient Near East. </w:t>
      </w:r>
    </w:p>
    <w:p w14:paraId="52513DF3" w14:textId="053A321E" w:rsidR="005E7E89" w:rsidRPr="00440CB2" w:rsidRDefault="001E0103" w:rsidP="001E0103">
      <w:pPr>
        <w:spacing w:after="0" w:line="360" w:lineRule="auto"/>
        <w:ind w:firstLine="720"/>
        <w:jc w:val="both"/>
        <w:rPr>
          <w:rFonts w:ascii="Sylfaen" w:hAnsi="Sylfaen"/>
          <w:color w:val="000000"/>
          <w:sz w:val="24"/>
          <w:szCs w:val="24"/>
          <w:lang w:val="en-GB"/>
        </w:rPr>
      </w:pPr>
      <w:r w:rsidRPr="00440CB2">
        <w:rPr>
          <w:rFonts w:ascii="Sylfaen" w:hAnsi="Sylfaen"/>
          <w:color w:val="000000"/>
          <w:sz w:val="24"/>
          <w:szCs w:val="24"/>
          <w:lang w:val="en-GB"/>
        </w:rPr>
        <w:lastRenderedPageBreak/>
        <w:t>Also made of clay are several artifacts associated with metallurgical activities, including small con</w:t>
      </w:r>
      <w:r w:rsidR="00962395">
        <w:rPr>
          <w:rFonts w:ascii="Sylfaen" w:hAnsi="Sylfaen"/>
          <w:color w:val="000000"/>
          <w:sz w:val="24"/>
          <w:szCs w:val="24"/>
          <w:lang w:val="en-GB"/>
        </w:rPr>
        <w:t>e-shaped</w:t>
      </w:r>
      <w:r w:rsidRPr="00440CB2">
        <w:rPr>
          <w:rFonts w:ascii="Sylfaen" w:hAnsi="Sylfaen"/>
          <w:color w:val="000000"/>
          <w:sz w:val="24"/>
          <w:szCs w:val="24"/>
          <w:lang w:val="en-GB"/>
        </w:rPr>
        <w:t xml:space="preserve"> nozzles and a </w:t>
      </w:r>
      <w:r w:rsidR="00962395">
        <w:rPr>
          <w:rFonts w:ascii="Sylfaen" w:hAnsi="Sylfaen"/>
          <w:color w:val="000000"/>
          <w:sz w:val="24"/>
          <w:szCs w:val="24"/>
          <w:lang w:val="en-GB"/>
        </w:rPr>
        <w:t>bath</w:t>
      </w:r>
      <w:r w:rsidRPr="00440CB2">
        <w:rPr>
          <w:rFonts w:ascii="Sylfaen" w:hAnsi="Sylfaen"/>
          <w:color w:val="000000"/>
          <w:sz w:val="24"/>
          <w:szCs w:val="24"/>
          <w:lang w:val="en-GB"/>
        </w:rPr>
        <w:t>-shaped</w:t>
      </w:r>
      <w:r w:rsidR="00962395">
        <w:rPr>
          <w:rFonts w:ascii="Sylfaen" w:hAnsi="Sylfaen"/>
          <w:color w:val="000000"/>
          <w:sz w:val="24"/>
          <w:szCs w:val="24"/>
          <w:lang w:val="en-GB"/>
        </w:rPr>
        <w:t xml:space="preserve"> </w:t>
      </w:r>
      <w:r w:rsidR="00962395" w:rsidRPr="00440CB2">
        <w:rPr>
          <w:rFonts w:ascii="Sylfaen" w:hAnsi="Sylfaen"/>
          <w:color w:val="000000"/>
          <w:sz w:val="24"/>
          <w:szCs w:val="24"/>
          <w:lang w:val="en-GB"/>
        </w:rPr>
        <w:t>miniature</w:t>
      </w:r>
      <w:r w:rsidRPr="00440CB2">
        <w:rPr>
          <w:rFonts w:ascii="Sylfaen" w:hAnsi="Sylfaen"/>
          <w:color w:val="000000"/>
          <w:sz w:val="24"/>
          <w:szCs w:val="24"/>
          <w:lang w:val="en-GB"/>
        </w:rPr>
        <w:t xml:space="preserve"> crucible (</w:t>
      </w:r>
      <w:r w:rsidRPr="00962395">
        <w:rPr>
          <w:rFonts w:ascii="Sylfaen" w:hAnsi="Sylfaen"/>
          <w:color w:val="4472C4" w:themeColor="accent1"/>
          <w:sz w:val="24"/>
          <w:szCs w:val="24"/>
          <w:lang w:val="en-GB"/>
        </w:rPr>
        <w:t>Tab. I/4, 5, 6</w:t>
      </w:r>
      <w:r w:rsidRPr="00440CB2">
        <w:rPr>
          <w:rFonts w:ascii="Sylfaen" w:hAnsi="Sylfaen"/>
          <w:color w:val="000000"/>
          <w:sz w:val="24"/>
          <w:szCs w:val="24"/>
          <w:lang w:val="en-GB"/>
        </w:rPr>
        <w:t>). Evidence of metalworking is further represented by a wooden model of a shaft-hole axe (</w:t>
      </w:r>
      <w:r w:rsidRPr="00962395">
        <w:rPr>
          <w:rFonts w:ascii="Sylfaen" w:hAnsi="Sylfaen"/>
          <w:color w:val="4472C4" w:themeColor="accent1"/>
          <w:sz w:val="24"/>
          <w:szCs w:val="24"/>
          <w:lang w:val="en-GB"/>
        </w:rPr>
        <w:t>Tab. I/3</w:t>
      </w:r>
      <w:r w:rsidRPr="00440CB2">
        <w:rPr>
          <w:rFonts w:ascii="Sylfaen" w:hAnsi="Sylfaen"/>
          <w:color w:val="000000"/>
          <w:sz w:val="24"/>
          <w:szCs w:val="24"/>
          <w:lang w:val="en-GB"/>
        </w:rPr>
        <w:t xml:space="preserve">). </w:t>
      </w:r>
    </w:p>
    <w:p w14:paraId="11C27E5A" w14:textId="166769A0" w:rsidR="005E7E89" w:rsidRPr="00440CB2" w:rsidRDefault="001E0103" w:rsidP="005E7E89">
      <w:pPr>
        <w:spacing w:after="0" w:line="360" w:lineRule="auto"/>
        <w:ind w:firstLine="720"/>
        <w:jc w:val="both"/>
        <w:rPr>
          <w:rFonts w:ascii="Sylfaen" w:hAnsi="Sylfaen"/>
          <w:color w:val="000000"/>
          <w:sz w:val="24"/>
          <w:szCs w:val="24"/>
          <w:lang w:val="en-GB"/>
        </w:rPr>
      </w:pPr>
      <w:r w:rsidRPr="00440CB2">
        <w:rPr>
          <w:rFonts w:ascii="Sylfaen" w:hAnsi="Sylfaen"/>
          <w:color w:val="000000"/>
          <w:sz w:val="24"/>
          <w:szCs w:val="24"/>
          <w:lang w:val="en-GB"/>
        </w:rPr>
        <w:t>The assemblage of stone artifacts includes fragments of stone axes (</w:t>
      </w:r>
      <w:r w:rsidRPr="00962395">
        <w:rPr>
          <w:rFonts w:ascii="Sylfaen" w:hAnsi="Sylfaen"/>
          <w:color w:val="4472C4" w:themeColor="accent1"/>
          <w:sz w:val="24"/>
          <w:szCs w:val="24"/>
          <w:lang w:val="en-GB"/>
        </w:rPr>
        <w:t>Tab. I/3</w:t>
      </w:r>
      <w:r w:rsidRPr="00440CB2">
        <w:rPr>
          <w:rFonts w:ascii="Sylfaen" w:hAnsi="Sylfaen"/>
          <w:color w:val="000000"/>
          <w:sz w:val="24"/>
          <w:szCs w:val="24"/>
          <w:lang w:val="en-GB"/>
        </w:rPr>
        <w:t xml:space="preserve">), flint arrowheads, stone </w:t>
      </w:r>
      <w:r w:rsidR="00C03E98">
        <w:rPr>
          <w:rFonts w:ascii="Sylfaen" w:hAnsi="Sylfaen"/>
          <w:color w:val="000000"/>
          <w:sz w:val="24"/>
          <w:szCs w:val="24"/>
          <w:lang w:val="en-GB"/>
        </w:rPr>
        <w:t>hand-mills (querns)</w:t>
      </w:r>
      <w:r w:rsidRPr="00440CB2">
        <w:rPr>
          <w:rFonts w:ascii="Sylfaen" w:hAnsi="Sylfaen"/>
          <w:color w:val="000000"/>
          <w:sz w:val="24"/>
          <w:szCs w:val="24"/>
          <w:lang w:val="en-GB"/>
        </w:rPr>
        <w:t xml:space="preserve"> and </w:t>
      </w:r>
      <w:r w:rsidR="00C03E98">
        <w:rPr>
          <w:rFonts w:ascii="Sylfaen" w:hAnsi="Sylfaen"/>
          <w:color w:val="000000"/>
          <w:sz w:val="24"/>
          <w:szCs w:val="24"/>
          <w:lang w:val="en-US"/>
        </w:rPr>
        <w:t>sinker</w:t>
      </w:r>
      <w:r w:rsidRPr="00440CB2">
        <w:rPr>
          <w:rFonts w:ascii="Sylfaen" w:hAnsi="Sylfaen"/>
          <w:color w:val="000000"/>
          <w:sz w:val="24"/>
          <w:szCs w:val="24"/>
          <w:lang w:val="en-GB"/>
        </w:rPr>
        <w:t>s.</w:t>
      </w:r>
    </w:p>
    <w:p w14:paraId="6D760BD3" w14:textId="77777777" w:rsidR="005E7E89" w:rsidRPr="00440CB2" w:rsidRDefault="005E7E89" w:rsidP="005E7E89">
      <w:pPr>
        <w:spacing w:after="0" w:line="360" w:lineRule="auto"/>
        <w:ind w:firstLine="720"/>
        <w:jc w:val="both"/>
        <w:rPr>
          <w:rFonts w:ascii="Sylfaen" w:hAnsi="Sylfaen"/>
          <w:color w:val="000000"/>
          <w:sz w:val="24"/>
          <w:szCs w:val="24"/>
          <w:lang w:val="en-GB"/>
        </w:rPr>
      </w:pPr>
      <w:r w:rsidRPr="00440CB2">
        <w:rPr>
          <w:rFonts w:ascii="Sylfaen" w:hAnsi="Sylfaen"/>
          <w:color w:val="000000"/>
          <w:sz w:val="24"/>
          <w:szCs w:val="24"/>
          <w:lang w:val="en-GB"/>
        </w:rPr>
        <w:t>Archaeological investigations have demonstrated that, during the final stage of the Early Bronze Age, the inhabitants of Ispani abandoned the settlement as a result of increasing water levels and the onset of transgressive processes, which led to the gradual marshification of the area. Over time, the abandoned settlement became covered by a thick layer of peat, ensuring the exceptional preservation of its archaeological remains.</w:t>
      </w:r>
    </w:p>
    <w:p w14:paraId="64B08247" w14:textId="77777777" w:rsidR="005E7E89" w:rsidRPr="00440CB2" w:rsidRDefault="005E7E89" w:rsidP="005E7E89">
      <w:pPr>
        <w:spacing w:after="0" w:line="360" w:lineRule="auto"/>
        <w:ind w:firstLine="720"/>
        <w:jc w:val="both"/>
        <w:rPr>
          <w:rFonts w:ascii="Sylfaen" w:hAnsi="Sylfaen"/>
          <w:color w:val="000000"/>
          <w:sz w:val="24"/>
          <w:szCs w:val="24"/>
          <w:lang w:val="en-GB"/>
        </w:rPr>
      </w:pPr>
      <w:r w:rsidRPr="00440CB2">
        <w:rPr>
          <w:rFonts w:ascii="Sylfaen" w:hAnsi="Sylfaen"/>
          <w:color w:val="000000"/>
          <w:sz w:val="24"/>
          <w:szCs w:val="24"/>
          <w:lang w:val="en-GB"/>
        </w:rPr>
        <w:t xml:space="preserve">The Ispani peat-buried settlement and the archaeological materials discovered there have been discussed and </w:t>
      </w:r>
      <w:r w:rsidR="00440CB2" w:rsidRPr="00440CB2">
        <w:rPr>
          <w:rFonts w:ascii="Sylfaen" w:hAnsi="Sylfaen"/>
          <w:color w:val="000000"/>
          <w:sz w:val="24"/>
          <w:szCs w:val="24"/>
          <w:lang w:val="en-GB"/>
        </w:rPr>
        <w:t>analysed</w:t>
      </w:r>
      <w:r w:rsidRPr="00440CB2">
        <w:rPr>
          <w:rFonts w:ascii="Sylfaen" w:hAnsi="Sylfaen"/>
          <w:color w:val="000000"/>
          <w:sz w:val="24"/>
          <w:szCs w:val="24"/>
          <w:lang w:val="en-GB"/>
        </w:rPr>
        <w:t xml:space="preserve"> in a number of scholarly publications and articles by</w:t>
      </w:r>
      <w:r w:rsidRPr="00440CB2">
        <w:rPr>
          <w:rStyle w:val="apple-converted-space"/>
          <w:rFonts w:ascii="Sylfaen" w:hAnsi="Sylfaen"/>
          <w:color w:val="000000"/>
          <w:sz w:val="24"/>
          <w:szCs w:val="24"/>
          <w:lang w:val="en-GB"/>
        </w:rPr>
        <w:t> </w:t>
      </w:r>
      <w:r w:rsidRPr="00962395">
        <w:rPr>
          <w:rStyle w:val="Strong"/>
          <w:rFonts w:ascii="Sylfaen" w:hAnsi="Sylfaen"/>
          <w:color w:val="EE0000"/>
          <w:sz w:val="24"/>
          <w:szCs w:val="24"/>
          <w:lang w:val="en-GB"/>
        </w:rPr>
        <w:t>David Khakhutaishvili</w:t>
      </w:r>
      <w:r w:rsidRPr="00440CB2">
        <w:rPr>
          <w:rFonts w:ascii="Sylfaen" w:hAnsi="Sylfaen"/>
          <w:color w:val="000000"/>
          <w:sz w:val="24"/>
          <w:szCs w:val="24"/>
          <w:lang w:val="en-GB"/>
        </w:rPr>
        <w:t xml:space="preserve">, </w:t>
      </w:r>
      <w:r w:rsidRPr="005A1781">
        <w:rPr>
          <w:rFonts w:ascii="Sylfaen" w:hAnsi="Sylfaen"/>
          <w:b/>
          <w:bCs/>
          <w:color w:val="EE0000"/>
          <w:sz w:val="24"/>
          <w:szCs w:val="24"/>
          <w:lang w:val="en-GB"/>
        </w:rPr>
        <w:t>Amiran Kakhidze</w:t>
      </w:r>
      <w:r w:rsidRPr="00440CB2">
        <w:rPr>
          <w:rFonts w:ascii="Sylfaen" w:hAnsi="Sylfaen"/>
          <w:color w:val="000000"/>
          <w:sz w:val="24"/>
          <w:szCs w:val="24"/>
          <w:lang w:val="en-GB"/>
        </w:rPr>
        <w:t>, and</w:t>
      </w:r>
      <w:r w:rsidRPr="00440CB2">
        <w:rPr>
          <w:rStyle w:val="apple-converted-space"/>
          <w:rFonts w:ascii="Sylfaen" w:hAnsi="Sylfaen"/>
          <w:color w:val="000000"/>
          <w:sz w:val="24"/>
          <w:szCs w:val="24"/>
          <w:lang w:val="en-GB"/>
        </w:rPr>
        <w:t> </w:t>
      </w:r>
      <w:r w:rsidRPr="00962395">
        <w:rPr>
          <w:rStyle w:val="Strong"/>
          <w:rFonts w:ascii="Sylfaen" w:hAnsi="Sylfaen"/>
          <w:color w:val="EE0000"/>
          <w:sz w:val="24"/>
          <w:szCs w:val="24"/>
          <w:lang w:val="en-GB"/>
        </w:rPr>
        <w:t>Nana Khakhutaishvili</w:t>
      </w:r>
      <w:r w:rsidRPr="00440CB2">
        <w:rPr>
          <w:rFonts w:ascii="Sylfaen" w:hAnsi="Sylfaen"/>
          <w:color w:val="000000"/>
          <w:sz w:val="24"/>
          <w:szCs w:val="24"/>
          <w:lang w:val="en-GB"/>
        </w:rPr>
        <w:t>.</w:t>
      </w:r>
    </w:p>
    <w:p w14:paraId="6282DBE5" w14:textId="606C4DEA" w:rsidR="005E7E89" w:rsidRPr="00440CB2" w:rsidRDefault="005E7E89" w:rsidP="005E7E89">
      <w:pPr>
        <w:spacing w:after="0" w:line="360" w:lineRule="auto"/>
        <w:ind w:firstLine="720"/>
        <w:jc w:val="both"/>
        <w:rPr>
          <w:rFonts w:ascii="Sylfaen" w:hAnsi="Sylfaen"/>
          <w:color w:val="000000"/>
          <w:sz w:val="24"/>
          <w:szCs w:val="24"/>
          <w:lang w:val="en-GB"/>
        </w:rPr>
      </w:pPr>
      <w:r w:rsidRPr="00440CB2">
        <w:rPr>
          <w:rFonts w:ascii="Sylfaen" w:hAnsi="Sylfaen"/>
          <w:color w:val="000000"/>
          <w:sz w:val="24"/>
          <w:szCs w:val="24"/>
          <w:lang w:val="en-GB"/>
        </w:rPr>
        <w:t xml:space="preserve">The majority of the artifacts discovered at the Ispani peat-buried settlement are preserved in the </w:t>
      </w:r>
      <w:r w:rsidR="00962395">
        <w:rPr>
          <w:rFonts w:ascii="Sylfaen" w:hAnsi="Sylfaen"/>
          <w:color w:val="000000"/>
          <w:sz w:val="24"/>
          <w:szCs w:val="24"/>
          <w:lang w:val="en-GB"/>
        </w:rPr>
        <w:t xml:space="preserve">LEPL </w:t>
      </w:r>
      <w:r w:rsidRPr="00440CB2">
        <w:rPr>
          <w:rFonts w:ascii="Sylfaen" w:hAnsi="Sylfaen"/>
          <w:color w:val="000000"/>
          <w:sz w:val="24"/>
          <w:szCs w:val="24"/>
          <w:lang w:val="en-GB"/>
        </w:rPr>
        <w:t>Ajara Museum, the</w:t>
      </w:r>
      <w:r w:rsidRPr="00440CB2">
        <w:rPr>
          <w:rStyle w:val="apple-converted-space"/>
          <w:rFonts w:ascii="Sylfaen" w:hAnsi="Sylfaen"/>
          <w:color w:val="000000"/>
          <w:sz w:val="24"/>
          <w:szCs w:val="24"/>
          <w:lang w:val="en-GB"/>
        </w:rPr>
        <w:t> </w:t>
      </w:r>
      <w:r w:rsidRPr="00440CB2">
        <w:rPr>
          <w:rStyle w:val="Strong"/>
          <w:rFonts w:ascii="Sylfaen" w:hAnsi="Sylfaen"/>
          <w:color w:val="000000"/>
          <w:sz w:val="24"/>
          <w:szCs w:val="24"/>
          <w:lang w:val="en-GB"/>
        </w:rPr>
        <w:t>Amiran Kakhidze Ajara Archaeological Museum</w:t>
      </w:r>
      <w:r w:rsidRPr="00440CB2">
        <w:rPr>
          <w:rFonts w:ascii="Sylfaen" w:hAnsi="Sylfaen"/>
          <w:color w:val="000000"/>
          <w:sz w:val="24"/>
          <w:szCs w:val="24"/>
          <w:lang w:val="en-GB"/>
        </w:rPr>
        <w:t>, and the</w:t>
      </w:r>
      <w:r w:rsidRPr="00440CB2">
        <w:rPr>
          <w:rStyle w:val="apple-converted-space"/>
          <w:rFonts w:ascii="Sylfaen" w:hAnsi="Sylfaen"/>
          <w:color w:val="000000"/>
          <w:sz w:val="24"/>
          <w:szCs w:val="24"/>
          <w:lang w:val="en-GB"/>
        </w:rPr>
        <w:t> </w:t>
      </w:r>
      <w:r w:rsidRPr="00440CB2">
        <w:rPr>
          <w:rStyle w:val="Strong"/>
          <w:rFonts w:ascii="Sylfaen" w:hAnsi="Sylfaen"/>
          <w:color w:val="000000"/>
          <w:sz w:val="24"/>
          <w:szCs w:val="24"/>
          <w:lang w:val="en-GB"/>
        </w:rPr>
        <w:t>Khariton Akhvlediani Museum</w:t>
      </w:r>
      <w:r w:rsidRPr="00440CB2">
        <w:rPr>
          <w:rFonts w:ascii="Sylfaen" w:hAnsi="Sylfaen"/>
          <w:color w:val="000000"/>
          <w:sz w:val="24"/>
          <w:szCs w:val="24"/>
          <w:lang w:val="en-GB"/>
        </w:rPr>
        <w:t>.</w:t>
      </w:r>
    </w:p>
    <w:p w14:paraId="513AD4EE" w14:textId="77777777" w:rsidR="005E7E89" w:rsidRPr="00440CB2" w:rsidRDefault="005E7E89" w:rsidP="005E7E89">
      <w:pPr>
        <w:spacing w:after="0" w:line="360" w:lineRule="auto"/>
        <w:ind w:firstLine="720"/>
        <w:jc w:val="both"/>
        <w:rPr>
          <w:rFonts w:ascii="Sylfaen" w:hAnsi="Sylfaen"/>
          <w:color w:val="000000"/>
          <w:sz w:val="24"/>
          <w:szCs w:val="24"/>
          <w:lang w:val="en-GB"/>
        </w:rPr>
      </w:pPr>
    </w:p>
    <w:p w14:paraId="59078826" w14:textId="77777777" w:rsidR="005E7E89" w:rsidRPr="00440CB2" w:rsidRDefault="005E7E89" w:rsidP="005E7E89">
      <w:pPr>
        <w:spacing w:after="0" w:line="360" w:lineRule="auto"/>
        <w:ind w:firstLine="720"/>
        <w:rPr>
          <w:rFonts w:ascii="Sylfaen" w:hAnsi="Sylfaen"/>
          <w:b/>
          <w:bCs/>
          <w:color w:val="000000"/>
          <w:sz w:val="24"/>
          <w:szCs w:val="24"/>
          <w:lang w:val="en-GB"/>
        </w:rPr>
      </w:pPr>
      <w:r w:rsidRPr="00440CB2">
        <w:rPr>
          <w:rFonts w:ascii="Sylfaen" w:hAnsi="Sylfaen"/>
          <w:b/>
          <w:bCs/>
          <w:color w:val="000000"/>
          <w:sz w:val="24"/>
          <w:szCs w:val="24"/>
          <w:lang w:val="en-GB"/>
        </w:rPr>
        <w:t>Bibliography:</w:t>
      </w:r>
    </w:p>
    <w:p w14:paraId="10FF03E8" w14:textId="68E69092" w:rsidR="005E7E89" w:rsidRPr="00440CB2" w:rsidRDefault="005E7E89" w:rsidP="00440CB2">
      <w:pPr>
        <w:spacing w:after="0" w:line="360" w:lineRule="auto"/>
        <w:ind w:firstLine="720"/>
        <w:jc w:val="both"/>
        <w:rPr>
          <w:rFonts w:ascii="Sylfaen" w:hAnsi="Sylfaen"/>
          <w:color w:val="000000"/>
          <w:sz w:val="24"/>
          <w:szCs w:val="24"/>
          <w:lang w:val="en-GB"/>
        </w:rPr>
      </w:pPr>
      <w:r w:rsidRPr="00440CB2">
        <w:rPr>
          <w:rFonts w:ascii="Sylfaen" w:hAnsi="Sylfaen"/>
          <w:color w:val="000000"/>
          <w:sz w:val="24"/>
          <w:szCs w:val="24"/>
          <w:lang w:val="en-GB"/>
        </w:rPr>
        <w:t xml:space="preserve">1. </w:t>
      </w:r>
      <w:r w:rsidRPr="00440CB2">
        <w:rPr>
          <w:rFonts w:ascii="Sylfaen" w:hAnsi="Sylfaen"/>
          <w:b/>
          <w:bCs/>
          <w:color w:val="000000"/>
          <w:sz w:val="24"/>
          <w:szCs w:val="24"/>
          <w:lang w:val="en-GB"/>
        </w:rPr>
        <w:t>Inaishvili A</w:t>
      </w:r>
      <w:r w:rsidRPr="00440CB2">
        <w:rPr>
          <w:rFonts w:ascii="Sylfaen" w:hAnsi="Sylfaen"/>
          <w:color w:val="000000"/>
          <w:sz w:val="24"/>
          <w:szCs w:val="24"/>
          <w:lang w:val="en-GB"/>
        </w:rPr>
        <w:t xml:space="preserve">., The main results of archaeological research of ancient settlements and cities of South-Western Georgia (1959-1971). </w:t>
      </w:r>
      <w:r w:rsidR="00C03E98">
        <w:rPr>
          <w:rFonts w:ascii="Sylfaen" w:hAnsi="Sylfaen"/>
          <w:color w:val="000000"/>
          <w:sz w:val="24"/>
          <w:szCs w:val="24"/>
          <w:lang w:val="en-GB"/>
        </w:rPr>
        <w:t xml:space="preserve">– </w:t>
      </w:r>
      <w:r w:rsidR="00C03E98">
        <w:rPr>
          <w:rFonts w:ascii="Sylfaen" w:hAnsi="Sylfaen"/>
          <w:color w:val="000000"/>
          <w:sz w:val="24"/>
          <w:szCs w:val="24"/>
          <w:lang w:val="en-US"/>
        </w:rPr>
        <w:t xml:space="preserve">ASSG </w:t>
      </w:r>
      <w:r w:rsidR="00C03E98">
        <w:rPr>
          <w:rFonts w:ascii="Sylfaen" w:hAnsi="Sylfaen"/>
          <w:color w:val="000000"/>
          <w:sz w:val="24"/>
          <w:szCs w:val="24"/>
          <w:lang w:val="en-GB"/>
        </w:rPr>
        <w:t>(</w:t>
      </w:r>
      <w:r w:rsidR="00C03E98" w:rsidRPr="00C03E98">
        <w:rPr>
          <w:rFonts w:ascii="Sylfaen" w:hAnsi="Sylfaen"/>
          <w:color w:val="000000"/>
          <w:sz w:val="24"/>
          <w:szCs w:val="24"/>
          <w:lang w:val="en-US"/>
        </w:rPr>
        <w:t>Archaeological Sites of Southwest Georgia</w:t>
      </w:r>
      <w:r w:rsidR="00C03E98">
        <w:rPr>
          <w:rFonts w:ascii="Sylfaen" w:hAnsi="Sylfaen"/>
          <w:color w:val="000000"/>
          <w:sz w:val="24"/>
          <w:szCs w:val="24"/>
          <w:lang w:val="en-GB"/>
        </w:rPr>
        <w:t>)</w:t>
      </w:r>
      <w:r w:rsidRPr="00440CB2">
        <w:rPr>
          <w:rFonts w:ascii="Sylfaen" w:hAnsi="Sylfaen"/>
          <w:color w:val="000000"/>
          <w:sz w:val="24"/>
          <w:szCs w:val="24"/>
          <w:lang w:val="en-GB"/>
        </w:rPr>
        <w:t>, III, 1973, pp. 3-37, Fig. 1</w:t>
      </w:r>
    </w:p>
    <w:p w14:paraId="2245968D" w14:textId="5664EC61" w:rsidR="005E7E89" w:rsidRPr="00440CB2" w:rsidRDefault="005E7E89" w:rsidP="00440CB2">
      <w:pPr>
        <w:spacing w:after="0" w:line="360" w:lineRule="auto"/>
        <w:ind w:firstLine="720"/>
        <w:jc w:val="both"/>
        <w:rPr>
          <w:rFonts w:ascii="Sylfaen" w:hAnsi="Sylfaen"/>
          <w:color w:val="000000"/>
          <w:sz w:val="24"/>
          <w:szCs w:val="24"/>
          <w:lang w:val="en-GB"/>
        </w:rPr>
      </w:pPr>
      <w:r w:rsidRPr="00440CB2">
        <w:rPr>
          <w:rFonts w:ascii="Sylfaen" w:hAnsi="Sylfaen"/>
          <w:color w:val="000000"/>
          <w:sz w:val="24"/>
          <w:szCs w:val="24"/>
          <w:lang w:val="en-GB"/>
        </w:rPr>
        <w:t xml:space="preserve">2. </w:t>
      </w:r>
      <w:r w:rsidRPr="00440CB2">
        <w:rPr>
          <w:rFonts w:ascii="Sylfaen" w:hAnsi="Sylfaen"/>
          <w:b/>
          <w:bCs/>
          <w:color w:val="000000"/>
          <w:sz w:val="24"/>
          <w:szCs w:val="24"/>
          <w:lang w:val="en-GB"/>
        </w:rPr>
        <w:t>Inaishvili A</w:t>
      </w:r>
      <w:r w:rsidRPr="00440CB2">
        <w:rPr>
          <w:rFonts w:ascii="Sylfaen" w:hAnsi="Sylfaen"/>
          <w:color w:val="000000"/>
          <w:sz w:val="24"/>
          <w:szCs w:val="24"/>
          <w:lang w:val="en-GB"/>
        </w:rPr>
        <w:t xml:space="preserve">., Results of the work of the South-Western Georgia Archaeological Expedition in 1974. - </w:t>
      </w:r>
      <w:r w:rsidR="00C03E98">
        <w:rPr>
          <w:rFonts w:ascii="Sylfaen" w:hAnsi="Sylfaen"/>
          <w:color w:val="000000"/>
          <w:sz w:val="24"/>
          <w:szCs w:val="24"/>
          <w:lang w:val="en-US"/>
        </w:rPr>
        <w:t xml:space="preserve">ASSG </w:t>
      </w:r>
      <w:r w:rsidR="00C03E98">
        <w:rPr>
          <w:rFonts w:ascii="Sylfaen" w:hAnsi="Sylfaen"/>
          <w:color w:val="000000"/>
          <w:sz w:val="24"/>
          <w:szCs w:val="24"/>
          <w:lang w:val="en-GB"/>
        </w:rPr>
        <w:t>(</w:t>
      </w:r>
      <w:r w:rsidR="00C03E98" w:rsidRPr="00C03E98">
        <w:rPr>
          <w:rFonts w:ascii="Sylfaen" w:hAnsi="Sylfaen"/>
          <w:color w:val="000000"/>
          <w:sz w:val="24"/>
          <w:szCs w:val="24"/>
          <w:lang w:val="en-US"/>
        </w:rPr>
        <w:t>Archaeological Sites of Southwest Georgia</w:t>
      </w:r>
      <w:r w:rsidR="00C03E98">
        <w:rPr>
          <w:rFonts w:ascii="Sylfaen" w:hAnsi="Sylfaen"/>
          <w:color w:val="000000"/>
          <w:sz w:val="24"/>
          <w:szCs w:val="24"/>
          <w:lang w:val="en-GB"/>
        </w:rPr>
        <w:t>)</w:t>
      </w:r>
      <w:r w:rsidRPr="00440CB2">
        <w:rPr>
          <w:rFonts w:ascii="Sylfaen" w:hAnsi="Sylfaen"/>
          <w:color w:val="000000"/>
          <w:sz w:val="24"/>
          <w:szCs w:val="24"/>
          <w:lang w:val="en-GB"/>
        </w:rPr>
        <w:t xml:space="preserve">, VI, </w:t>
      </w:r>
      <w:r w:rsidR="00440CB2" w:rsidRPr="00440CB2">
        <w:rPr>
          <w:rFonts w:ascii="Sylfaen" w:hAnsi="Sylfaen"/>
          <w:color w:val="000000"/>
          <w:sz w:val="24"/>
          <w:szCs w:val="24"/>
          <w:lang w:val="en-GB"/>
        </w:rPr>
        <w:t>Tbilisi</w:t>
      </w:r>
      <w:r w:rsidRPr="00440CB2">
        <w:rPr>
          <w:rFonts w:ascii="Sylfaen" w:hAnsi="Sylfaen"/>
          <w:color w:val="000000"/>
          <w:sz w:val="24"/>
          <w:szCs w:val="24"/>
          <w:lang w:val="en-GB"/>
        </w:rPr>
        <w:t>, 1977, pp. 67-90</w:t>
      </w:r>
    </w:p>
    <w:p w14:paraId="62AD6CB2" w14:textId="3C7BECE6" w:rsidR="005E7E89" w:rsidRPr="00683965" w:rsidRDefault="005E7E89" w:rsidP="00440CB2">
      <w:pPr>
        <w:spacing w:after="0" w:line="360" w:lineRule="auto"/>
        <w:ind w:firstLine="720"/>
        <w:jc w:val="both"/>
        <w:rPr>
          <w:rFonts w:ascii="Sylfaen" w:hAnsi="Sylfaen"/>
          <w:color w:val="000000"/>
          <w:sz w:val="24"/>
          <w:szCs w:val="24"/>
          <w:lang w:val="en-US"/>
        </w:rPr>
      </w:pPr>
      <w:r w:rsidRPr="00440CB2">
        <w:rPr>
          <w:rFonts w:ascii="Sylfaen" w:hAnsi="Sylfaen"/>
          <w:color w:val="000000"/>
          <w:sz w:val="24"/>
          <w:szCs w:val="24"/>
          <w:lang w:val="en-GB"/>
        </w:rPr>
        <w:t xml:space="preserve">3. </w:t>
      </w:r>
      <w:r w:rsidRPr="00440CB2">
        <w:rPr>
          <w:rFonts w:ascii="Sylfaen" w:hAnsi="Sylfaen"/>
          <w:b/>
          <w:bCs/>
          <w:color w:val="000000"/>
          <w:sz w:val="24"/>
          <w:szCs w:val="24"/>
          <w:lang w:val="en-GB"/>
        </w:rPr>
        <w:t>Kakhidze A</w:t>
      </w:r>
      <w:r w:rsidRPr="00440CB2">
        <w:rPr>
          <w:rFonts w:ascii="Sylfaen" w:hAnsi="Sylfaen"/>
          <w:color w:val="000000"/>
          <w:sz w:val="24"/>
          <w:szCs w:val="24"/>
          <w:lang w:val="en-GB"/>
        </w:rPr>
        <w:t>., Ancient cities of the Georgian seaside (Kobulet</w:t>
      </w:r>
      <w:r w:rsidR="00440CB2" w:rsidRPr="00440CB2">
        <w:rPr>
          <w:rFonts w:ascii="Sylfaen" w:hAnsi="Sylfaen"/>
          <w:color w:val="000000"/>
          <w:sz w:val="24"/>
          <w:szCs w:val="24"/>
          <w:lang w:val="en-GB"/>
        </w:rPr>
        <w:t>i</w:t>
      </w:r>
      <w:r w:rsidRPr="00440CB2">
        <w:rPr>
          <w:rFonts w:ascii="Sylfaen" w:hAnsi="Sylfaen"/>
          <w:color w:val="000000"/>
          <w:sz w:val="24"/>
          <w:szCs w:val="24"/>
          <w:lang w:val="en-GB"/>
        </w:rPr>
        <w:t>-Pichvnari), T</w:t>
      </w:r>
      <w:r w:rsidR="00440CB2" w:rsidRPr="00440CB2">
        <w:rPr>
          <w:rFonts w:ascii="Sylfaen" w:hAnsi="Sylfaen"/>
          <w:color w:val="000000"/>
          <w:sz w:val="24"/>
          <w:szCs w:val="24"/>
          <w:lang w:val="en-GB"/>
        </w:rPr>
        <w:t>bilisi</w:t>
      </w:r>
      <w:r w:rsidRPr="00440CB2">
        <w:rPr>
          <w:rFonts w:ascii="Sylfaen" w:hAnsi="Sylfaen"/>
          <w:color w:val="000000"/>
          <w:sz w:val="24"/>
          <w:szCs w:val="24"/>
          <w:lang w:val="en-GB"/>
        </w:rPr>
        <w:t>, 1971</w:t>
      </w:r>
      <w:r w:rsidR="00683965">
        <w:rPr>
          <w:rFonts w:ascii="Sylfaen" w:hAnsi="Sylfaen"/>
          <w:color w:val="000000"/>
          <w:sz w:val="24"/>
          <w:szCs w:val="24"/>
          <w:lang w:val="en-GB"/>
        </w:rPr>
        <w:t xml:space="preserve">, </w:t>
      </w:r>
      <w:r w:rsidR="00683965">
        <w:rPr>
          <w:rFonts w:ascii="Sylfaen" w:hAnsi="Sylfaen"/>
          <w:color w:val="000000"/>
          <w:sz w:val="24"/>
          <w:szCs w:val="24"/>
          <w:lang w:val="en-US"/>
        </w:rPr>
        <w:t>pp. 21-23</w:t>
      </w:r>
    </w:p>
    <w:p w14:paraId="322FE1D3" w14:textId="793C1123" w:rsidR="005E7E89" w:rsidRPr="00440CB2" w:rsidRDefault="005E7E89" w:rsidP="00440CB2">
      <w:pPr>
        <w:spacing w:after="0" w:line="360" w:lineRule="auto"/>
        <w:ind w:firstLine="720"/>
        <w:jc w:val="both"/>
        <w:rPr>
          <w:rFonts w:ascii="Sylfaen" w:hAnsi="Sylfaen"/>
          <w:color w:val="000000"/>
          <w:sz w:val="24"/>
          <w:szCs w:val="24"/>
          <w:lang w:val="en-GB"/>
        </w:rPr>
      </w:pPr>
      <w:r w:rsidRPr="00440CB2">
        <w:rPr>
          <w:rFonts w:ascii="Sylfaen" w:hAnsi="Sylfaen"/>
          <w:color w:val="000000"/>
          <w:sz w:val="24"/>
          <w:szCs w:val="24"/>
          <w:lang w:val="en-GB"/>
        </w:rPr>
        <w:lastRenderedPageBreak/>
        <w:t xml:space="preserve">4. </w:t>
      </w:r>
      <w:r w:rsidRPr="00440CB2">
        <w:rPr>
          <w:rFonts w:ascii="Sylfaen" w:hAnsi="Sylfaen"/>
          <w:b/>
          <w:bCs/>
          <w:color w:val="000000"/>
          <w:sz w:val="24"/>
          <w:szCs w:val="24"/>
          <w:lang w:val="en-GB"/>
        </w:rPr>
        <w:t>Kakhidze A</w:t>
      </w:r>
      <w:r w:rsidRPr="00440CB2">
        <w:rPr>
          <w:rFonts w:ascii="Sylfaen" w:hAnsi="Sylfaen"/>
          <w:color w:val="000000"/>
          <w:sz w:val="24"/>
          <w:szCs w:val="24"/>
          <w:lang w:val="en-GB"/>
        </w:rPr>
        <w:t>., Culture of the Eneolithic-Pre-Bronze Age. - Essays on the history of South-Western Georgia, Ajara I, Batumi, 2007, p</w:t>
      </w:r>
      <w:r w:rsidR="00683965">
        <w:rPr>
          <w:rFonts w:ascii="Sylfaen" w:hAnsi="Sylfaen"/>
          <w:color w:val="000000"/>
          <w:sz w:val="24"/>
          <w:szCs w:val="24"/>
          <w:lang w:val="en-GB"/>
        </w:rPr>
        <w:t>p</w:t>
      </w:r>
      <w:r w:rsidRPr="00440CB2">
        <w:rPr>
          <w:rFonts w:ascii="Sylfaen" w:hAnsi="Sylfaen"/>
          <w:color w:val="000000"/>
          <w:sz w:val="24"/>
          <w:szCs w:val="24"/>
          <w:lang w:val="en-GB"/>
        </w:rPr>
        <w:t>. 135-139</w:t>
      </w:r>
    </w:p>
    <w:p w14:paraId="71F72A79" w14:textId="170E18BB" w:rsidR="005E7E89" w:rsidRPr="00440CB2" w:rsidRDefault="005E7E89" w:rsidP="00440CB2">
      <w:pPr>
        <w:spacing w:after="0" w:line="360" w:lineRule="auto"/>
        <w:ind w:firstLine="720"/>
        <w:jc w:val="both"/>
        <w:rPr>
          <w:rFonts w:ascii="Sylfaen" w:hAnsi="Sylfaen"/>
          <w:color w:val="000000"/>
          <w:sz w:val="24"/>
          <w:szCs w:val="24"/>
          <w:lang w:val="en-GB"/>
        </w:rPr>
      </w:pPr>
      <w:r w:rsidRPr="00440CB2">
        <w:rPr>
          <w:rFonts w:ascii="Sylfaen" w:hAnsi="Sylfaen"/>
          <w:color w:val="000000"/>
          <w:sz w:val="24"/>
          <w:szCs w:val="24"/>
          <w:lang w:val="en-GB"/>
        </w:rPr>
        <w:t xml:space="preserve">5. </w:t>
      </w:r>
      <w:r w:rsidRPr="00440CB2">
        <w:rPr>
          <w:rFonts w:ascii="Sylfaen" w:hAnsi="Sylfaen"/>
          <w:b/>
          <w:bCs/>
          <w:color w:val="000000"/>
          <w:sz w:val="24"/>
          <w:szCs w:val="24"/>
          <w:lang w:val="en-GB"/>
        </w:rPr>
        <w:t>Kakhidze A., Mamuladze Sh</w:t>
      </w:r>
      <w:r w:rsidRPr="00440CB2">
        <w:rPr>
          <w:rFonts w:ascii="Sylfaen" w:hAnsi="Sylfaen"/>
          <w:color w:val="000000"/>
          <w:sz w:val="24"/>
          <w:szCs w:val="24"/>
          <w:lang w:val="en-GB"/>
        </w:rPr>
        <w:t>., Archaeological Monuments of Ajara, Tbilisi, 2016</w:t>
      </w:r>
      <w:r w:rsidR="00063E91">
        <w:rPr>
          <w:rFonts w:ascii="Sylfaen" w:hAnsi="Sylfaen"/>
          <w:color w:val="000000"/>
          <w:sz w:val="24"/>
          <w:szCs w:val="24"/>
          <w:lang w:val="en-GB"/>
        </w:rPr>
        <w:t xml:space="preserve"> (</w:t>
      </w:r>
      <w:r w:rsidR="00063E91" w:rsidRPr="00063E91">
        <w:rPr>
          <w:rFonts w:ascii="Sylfaen" w:hAnsi="Sylfaen"/>
          <w:color w:val="538135" w:themeColor="accent6" w:themeShade="BF"/>
          <w:sz w:val="24"/>
          <w:szCs w:val="24"/>
          <w:lang w:val="en-GB"/>
        </w:rPr>
        <w:t>pdf</w:t>
      </w:r>
      <w:r w:rsidR="00063E91">
        <w:rPr>
          <w:rFonts w:ascii="Sylfaen" w:hAnsi="Sylfaen"/>
          <w:color w:val="000000"/>
          <w:sz w:val="24"/>
          <w:szCs w:val="24"/>
          <w:lang w:val="en-GB"/>
        </w:rPr>
        <w:t>)</w:t>
      </w:r>
    </w:p>
    <w:p w14:paraId="32256775" w14:textId="3FE533B1" w:rsidR="005E7E89" w:rsidRPr="00440CB2" w:rsidRDefault="005E7E89" w:rsidP="00440CB2">
      <w:pPr>
        <w:spacing w:after="0" w:line="360" w:lineRule="auto"/>
        <w:ind w:firstLine="720"/>
        <w:jc w:val="both"/>
        <w:rPr>
          <w:rFonts w:ascii="Sylfaen" w:hAnsi="Sylfaen"/>
          <w:color w:val="000000"/>
          <w:sz w:val="24"/>
          <w:szCs w:val="24"/>
          <w:lang w:val="en-GB"/>
        </w:rPr>
      </w:pPr>
      <w:r w:rsidRPr="00440CB2">
        <w:rPr>
          <w:rFonts w:ascii="Sylfaen" w:hAnsi="Sylfaen"/>
          <w:color w:val="000000"/>
          <w:sz w:val="24"/>
          <w:szCs w:val="24"/>
          <w:lang w:val="en-GB"/>
        </w:rPr>
        <w:t xml:space="preserve">6. </w:t>
      </w:r>
      <w:r w:rsidRPr="00440CB2">
        <w:rPr>
          <w:rFonts w:ascii="Sylfaen" w:hAnsi="Sylfaen"/>
          <w:b/>
          <w:bCs/>
          <w:color w:val="000000"/>
          <w:sz w:val="24"/>
          <w:szCs w:val="24"/>
          <w:lang w:val="en-GB"/>
        </w:rPr>
        <w:t>Kakhidze A., Surmanidze N., Nagervadze M</w:t>
      </w:r>
      <w:r w:rsidRPr="00440CB2">
        <w:rPr>
          <w:rFonts w:ascii="Sylfaen" w:hAnsi="Sylfaen"/>
          <w:color w:val="000000"/>
          <w:sz w:val="24"/>
          <w:szCs w:val="24"/>
          <w:lang w:val="en-GB"/>
        </w:rPr>
        <w:t xml:space="preserve">., </w:t>
      </w:r>
      <w:r w:rsidR="00440CB2" w:rsidRPr="00440CB2">
        <w:rPr>
          <w:rFonts w:ascii="Sylfaen" w:hAnsi="Sylfaen"/>
          <w:color w:val="000000"/>
          <w:sz w:val="24"/>
          <w:szCs w:val="24"/>
          <w:lang w:val="en-GB"/>
        </w:rPr>
        <w:t>Ajara in the Eneolithic-Bronze and Early Iron Ages</w:t>
      </w:r>
      <w:r w:rsidRPr="00440CB2">
        <w:rPr>
          <w:rFonts w:ascii="Sylfaen" w:hAnsi="Sylfaen"/>
          <w:color w:val="000000"/>
          <w:sz w:val="24"/>
          <w:szCs w:val="24"/>
          <w:lang w:val="en-GB"/>
        </w:rPr>
        <w:t>, Batumi, 2016</w:t>
      </w:r>
      <w:r w:rsidR="000B7882">
        <w:rPr>
          <w:rFonts w:ascii="Sylfaen" w:hAnsi="Sylfaen"/>
          <w:color w:val="000000"/>
          <w:sz w:val="24"/>
          <w:szCs w:val="24"/>
          <w:lang w:val="en-GB"/>
        </w:rPr>
        <w:t xml:space="preserve"> (</w:t>
      </w:r>
      <w:r w:rsidR="000B7882" w:rsidRPr="00C03E98">
        <w:rPr>
          <w:rFonts w:ascii="Sylfaen" w:hAnsi="Sylfaen"/>
          <w:color w:val="538135" w:themeColor="accent6" w:themeShade="BF"/>
          <w:sz w:val="24"/>
          <w:szCs w:val="24"/>
          <w:lang w:val="en-GB"/>
        </w:rPr>
        <w:t>pdf</w:t>
      </w:r>
      <w:r w:rsidR="000B7882">
        <w:rPr>
          <w:rFonts w:ascii="Sylfaen" w:hAnsi="Sylfaen"/>
          <w:color w:val="000000"/>
          <w:sz w:val="24"/>
          <w:szCs w:val="24"/>
          <w:lang w:val="en-GB"/>
        </w:rPr>
        <w:t>)</w:t>
      </w:r>
    </w:p>
    <w:p w14:paraId="5FFEC4F3" w14:textId="56FCD4C8" w:rsidR="005E7E89" w:rsidRPr="00C03E98" w:rsidRDefault="005E7E89" w:rsidP="00440CB2">
      <w:pPr>
        <w:spacing w:after="0" w:line="360" w:lineRule="auto"/>
        <w:ind w:firstLine="720"/>
        <w:jc w:val="both"/>
        <w:rPr>
          <w:rFonts w:ascii="Sylfaen" w:hAnsi="Sylfaen"/>
          <w:color w:val="000000"/>
          <w:sz w:val="24"/>
          <w:szCs w:val="24"/>
          <w:lang w:val="en-US"/>
        </w:rPr>
      </w:pPr>
      <w:r w:rsidRPr="00440CB2">
        <w:rPr>
          <w:rFonts w:ascii="Sylfaen" w:hAnsi="Sylfaen"/>
          <w:color w:val="000000"/>
          <w:sz w:val="24"/>
          <w:szCs w:val="24"/>
          <w:lang w:val="en-GB"/>
        </w:rPr>
        <w:t xml:space="preserve">7. </w:t>
      </w:r>
      <w:r w:rsidRPr="00440CB2">
        <w:rPr>
          <w:rFonts w:ascii="Sylfaen" w:hAnsi="Sylfaen"/>
          <w:b/>
          <w:bCs/>
          <w:color w:val="000000"/>
          <w:sz w:val="24"/>
          <w:szCs w:val="24"/>
          <w:lang w:val="en-GB"/>
        </w:rPr>
        <w:t>Kakhidze A</w:t>
      </w:r>
      <w:r w:rsidRPr="00440CB2">
        <w:rPr>
          <w:rFonts w:ascii="Sylfaen" w:hAnsi="Sylfaen"/>
          <w:color w:val="000000"/>
          <w:sz w:val="24"/>
          <w:szCs w:val="24"/>
          <w:lang w:val="en-GB"/>
        </w:rPr>
        <w:t xml:space="preserve">., The </w:t>
      </w:r>
      <w:r w:rsidR="00440CB2" w:rsidRPr="00440CB2">
        <w:rPr>
          <w:rFonts w:ascii="Sylfaen" w:hAnsi="Sylfaen"/>
          <w:color w:val="000000"/>
          <w:sz w:val="24"/>
          <w:szCs w:val="24"/>
          <w:lang w:val="en-GB"/>
        </w:rPr>
        <w:t xml:space="preserve">Peat-Buried Settlement </w:t>
      </w:r>
      <w:r w:rsidRPr="00440CB2">
        <w:rPr>
          <w:rFonts w:ascii="Sylfaen" w:hAnsi="Sylfaen"/>
          <w:color w:val="000000"/>
          <w:sz w:val="24"/>
          <w:szCs w:val="24"/>
          <w:lang w:val="en-GB"/>
        </w:rPr>
        <w:t xml:space="preserve">- </w:t>
      </w:r>
      <w:r w:rsidR="00440CB2" w:rsidRPr="00440CB2">
        <w:rPr>
          <w:rFonts w:ascii="Sylfaen" w:hAnsi="Sylfaen"/>
          <w:color w:val="000000"/>
          <w:sz w:val="24"/>
          <w:szCs w:val="24"/>
          <w:lang w:val="en-GB"/>
        </w:rPr>
        <w:t>Pichvnari</w:t>
      </w:r>
      <w:r w:rsidRPr="00440CB2">
        <w:rPr>
          <w:rFonts w:ascii="Sylfaen" w:hAnsi="Sylfaen"/>
          <w:color w:val="000000"/>
          <w:sz w:val="24"/>
          <w:szCs w:val="24"/>
          <w:lang w:val="en-GB"/>
        </w:rPr>
        <w:t xml:space="preserve"> VIII, Batumi, 2023, pp. 57-86</w:t>
      </w:r>
      <w:r w:rsidR="00C03E98">
        <w:rPr>
          <w:rFonts w:ascii="Sylfaen" w:hAnsi="Sylfaen"/>
          <w:color w:val="000000"/>
          <w:sz w:val="24"/>
          <w:szCs w:val="24"/>
          <w:lang w:val="en-GB"/>
        </w:rPr>
        <w:t xml:space="preserve"> (</w:t>
      </w:r>
      <w:r w:rsidR="00C03E98" w:rsidRPr="00C03E98">
        <w:rPr>
          <w:rFonts w:ascii="Sylfaen" w:hAnsi="Sylfaen"/>
          <w:color w:val="538135" w:themeColor="accent6" w:themeShade="BF"/>
          <w:sz w:val="24"/>
          <w:szCs w:val="24"/>
          <w:lang w:val="en-GB"/>
        </w:rPr>
        <w:t>pdf</w:t>
      </w:r>
      <w:r w:rsidR="00C03E98">
        <w:rPr>
          <w:rFonts w:ascii="Sylfaen" w:hAnsi="Sylfaen"/>
          <w:color w:val="000000"/>
          <w:sz w:val="24"/>
          <w:szCs w:val="24"/>
          <w:lang w:val="en-GB"/>
        </w:rPr>
        <w:t>)</w:t>
      </w:r>
    </w:p>
    <w:p w14:paraId="4BD68920" w14:textId="4918EED5" w:rsidR="005E7E89" w:rsidRPr="00440CB2" w:rsidRDefault="005E7E89" w:rsidP="00440CB2">
      <w:pPr>
        <w:spacing w:after="0" w:line="360" w:lineRule="auto"/>
        <w:ind w:firstLine="720"/>
        <w:jc w:val="both"/>
        <w:rPr>
          <w:rFonts w:ascii="Sylfaen" w:hAnsi="Sylfaen"/>
          <w:color w:val="000000"/>
          <w:sz w:val="24"/>
          <w:szCs w:val="24"/>
          <w:lang w:val="en-GB"/>
        </w:rPr>
      </w:pPr>
      <w:r w:rsidRPr="00440CB2">
        <w:rPr>
          <w:rFonts w:ascii="Sylfaen" w:hAnsi="Sylfaen"/>
          <w:color w:val="000000"/>
          <w:sz w:val="24"/>
          <w:szCs w:val="24"/>
          <w:lang w:val="en-GB"/>
        </w:rPr>
        <w:t xml:space="preserve">8. </w:t>
      </w:r>
      <w:proofErr w:type="spellStart"/>
      <w:r w:rsidRPr="00C03E98">
        <w:rPr>
          <w:rFonts w:ascii="Sylfaen" w:hAnsi="Sylfaen"/>
          <w:b/>
          <w:bCs/>
          <w:color w:val="000000"/>
          <w:sz w:val="24"/>
          <w:szCs w:val="24"/>
          <w:lang w:val="en-GB"/>
        </w:rPr>
        <w:t>Khakhutaishvili</w:t>
      </w:r>
      <w:proofErr w:type="spellEnd"/>
      <w:r w:rsidRPr="00C03E98">
        <w:rPr>
          <w:rFonts w:ascii="Sylfaen" w:hAnsi="Sylfaen"/>
          <w:b/>
          <w:bCs/>
          <w:color w:val="000000"/>
          <w:sz w:val="24"/>
          <w:szCs w:val="24"/>
          <w:lang w:val="en-GB"/>
        </w:rPr>
        <w:t xml:space="preserve"> D</w:t>
      </w:r>
      <w:r w:rsidRPr="00440CB2">
        <w:rPr>
          <w:rFonts w:ascii="Sylfaen" w:hAnsi="Sylfaen"/>
          <w:color w:val="000000"/>
          <w:sz w:val="24"/>
          <w:szCs w:val="24"/>
          <w:lang w:val="en-GB"/>
        </w:rPr>
        <w:t xml:space="preserve">., Main results of archaeological research in South-West Georgia. - </w:t>
      </w:r>
      <w:r w:rsidR="00C03E98">
        <w:rPr>
          <w:rFonts w:ascii="Sylfaen" w:hAnsi="Sylfaen"/>
          <w:color w:val="000000"/>
          <w:sz w:val="24"/>
          <w:szCs w:val="24"/>
          <w:lang w:val="en-US"/>
        </w:rPr>
        <w:t xml:space="preserve">ASSG </w:t>
      </w:r>
      <w:r w:rsidR="00C03E98">
        <w:rPr>
          <w:rFonts w:ascii="Sylfaen" w:hAnsi="Sylfaen"/>
          <w:color w:val="000000"/>
          <w:sz w:val="24"/>
          <w:szCs w:val="24"/>
          <w:lang w:val="en-GB"/>
        </w:rPr>
        <w:t>(</w:t>
      </w:r>
      <w:r w:rsidR="00C03E98" w:rsidRPr="00C03E98">
        <w:rPr>
          <w:rFonts w:ascii="Sylfaen" w:hAnsi="Sylfaen"/>
          <w:color w:val="000000"/>
          <w:sz w:val="24"/>
          <w:szCs w:val="24"/>
          <w:lang w:val="en-US"/>
        </w:rPr>
        <w:t>Archaeological Sites of Southwest Georgia</w:t>
      </w:r>
      <w:r w:rsidR="00C03E98">
        <w:rPr>
          <w:rFonts w:ascii="Sylfaen" w:hAnsi="Sylfaen"/>
          <w:color w:val="000000"/>
          <w:sz w:val="24"/>
          <w:szCs w:val="24"/>
          <w:lang w:val="en-GB"/>
        </w:rPr>
        <w:t>)</w:t>
      </w:r>
      <w:r w:rsidRPr="00440CB2">
        <w:rPr>
          <w:rFonts w:ascii="Sylfaen" w:hAnsi="Sylfaen"/>
          <w:color w:val="000000"/>
          <w:sz w:val="24"/>
          <w:szCs w:val="24"/>
          <w:lang w:val="en-GB"/>
        </w:rPr>
        <w:t>, VIII, Tb</w:t>
      </w:r>
      <w:r w:rsidR="00683965">
        <w:rPr>
          <w:rFonts w:ascii="Sylfaen" w:hAnsi="Sylfaen"/>
          <w:color w:val="000000"/>
          <w:sz w:val="24"/>
          <w:szCs w:val="24"/>
          <w:lang w:val="en-GB"/>
        </w:rPr>
        <w:t>ilisi</w:t>
      </w:r>
      <w:r w:rsidRPr="00440CB2">
        <w:rPr>
          <w:rFonts w:ascii="Sylfaen" w:hAnsi="Sylfaen"/>
          <w:color w:val="000000"/>
          <w:sz w:val="24"/>
          <w:szCs w:val="24"/>
          <w:lang w:val="en-GB"/>
        </w:rPr>
        <w:t>, 1979, pp. 3-18</w:t>
      </w:r>
    </w:p>
    <w:p w14:paraId="00576B38" w14:textId="77777777" w:rsidR="005E7E89" w:rsidRPr="00440CB2" w:rsidRDefault="005E7E89" w:rsidP="00440CB2">
      <w:pPr>
        <w:spacing w:after="0" w:line="360" w:lineRule="auto"/>
        <w:ind w:firstLine="720"/>
        <w:jc w:val="both"/>
        <w:rPr>
          <w:rFonts w:ascii="Sylfaen" w:hAnsi="Sylfaen"/>
          <w:color w:val="000000"/>
          <w:sz w:val="24"/>
          <w:szCs w:val="24"/>
          <w:lang w:val="en-GB"/>
        </w:rPr>
      </w:pPr>
      <w:r w:rsidRPr="00440CB2">
        <w:rPr>
          <w:rFonts w:ascii="Sylfaen" w:hAnsi="Sylfaen"/>
          <w:color w:val="000000"/>
          <w:sz w:val="24"/>
          <w:szCs w:val="24"/>
          <w:lang w:val="en-GB"/>
        </w:rPr>
        <w:t xml:space="preserve">9. </w:t>
      </w:r>
      <w:proofErr w:type="spellStart"/>
      <w:r w:rsidRPr="00440CB2">
        <w:rPr>
          <w:rFonts w:ascii="Sylfaen" w:hAnsi="Sylfaen"/>
          <w:b/>
          <w:bCs/>
          <w:color w:val="000000"/>
          <w:sz w:val="24"/>
          <w:szCs w:val="24"/>
          <w:lang w:val="en-GB"/>
        </w:rPr>
        <w:t>Khakhutaishvili</w:t>
      </w:r>
      <w:proofErr w:type="spellEnd"/>
      <w:r w:rsidRPr="00440CB2">
        <w:rPr>
          <w:rFonts w:ascii="Sylfaen" w:hAnsi="Sylfaen"/>
          <w:b/>
          <w:bCs/>
          <w:color w:val="000000"/>
          <w:sz w:val="24"/>
          <w:szCs w:val="24"/>
          <w:lang w:val="en-GB"/>
        </w:rPr>
        <w:t xml:space="preserve"> D</w:t>
      </w:r>
      <w:r w:rsidRPr="00440CB2">
        <w:rPr>
          <w:rFonts w:ascii="Sylfaen" w:hAnsi="Sylfaen"/>
          <w:color w:val="000000"/>
          <w:sz w:val="24"/>
          <w:szCs w:val="24"/>
          <w:lang w:val="en-GB"/>
        </w:rPr>
        <w:t>., Kobuleti region, I, Batumi, 1995.</w:t>
      </w:r>
    </w:p>
    <w:p w14:paraId="34B8E79C" w14:textId="64E1746A" w:rsidR="005E7E89" w:rsidRPr="00440CB2" w:rsidRDefault="005E7E89" w:rsidP="00440CB2">
      <w:pPr>
        <w:spacing w:after="0" w:line="360" w:lineRule="auto"/>
        <w:ind w:firstLine="720"/>
        <w:jc w:val="both"/>
        <w:rPr>
          <w:rFonts w:ascii="Sylfaen" w:hAnsi="Sylfaen"/>
          <w:color w:val="000000"/>
          <w:sz w:val="24"/>
          <w:szCs w:val="24"/>
          <w:lang w:val="en-GB"/>
        </w:rPr>
      </w:pPr>
      <w:r w:rsidRPr="00440CB2">
        <w:rPr>
          <w:rFonts w:ascii="Sylfaen" w:hAnsi="Sylfaen"/>
          <w:color w:val="000000"/>
          <w:sz w:val="24"/>
          <w:szCs w:val="24"/>
          <w:lang w:val="en-GB"/>
        </w:rPr>
        <w:t xml:space="preserve">10. </w:t>
      </w:r>
      <w:proofErr w:type="spellStart"/>
      <w:r w:rsidRPr="00440CB2">
        <w:rPr>
          <w:rFonts w:ascii="Sylfaen" w:hAnsi="Sylfaen"/>
          <w:b/>
          <w:bCs/>
          <w:color w:val="000000"/>
          <w:sz w:val="24"/>
          <w:szCs w:val="24"/>
          <w:lang w:val="en-GB"/>
        </w:rPr>
        <w:t>Khakhutaishvili</w:t>
      </w:r>
      <w:proofErr w:type="spellEnd"/>
      <w:r w:rsidRPr="00440CB2">
        <w:rPr>
          <w:rFonts w:ascii="Sylfaen" w:hAnsi="Sylfaen"/>
          <w:b/>
          <w:bCs/>
          <w:color w:val="000000"/>
          <w:sz w:val="24"/>
          <w:szCs w:val="24"/>
          <w:lang w:val="en-GB"/>
        </w:rPr>
        <w:t xml:space="preserve"> D</w:t>
      </w:r>
      <w:r w:rsidRPr="00440CB2">
        <w:rPr>
          <w:rFonts w:ascii="Sylfaen" w:hAnsi="Sylfaen"/>
          <w:color w:val="000000"/>
          <w:sz w:val="24"/>
          <w:szCs w:val="24"/>
          <w:lang w:val="en-GB"/>
        </w:rPr>
        <w:t xml:space="preserve">., </w:t>
      </w:r>
      <w:r w:rsidR="00036579" w:rsidRPr="00036579">
        <w:rPr>
          <w:rFonts w:ascii="Sylfaen" w:hAnsi="Sylfaen"/>
          <w:color w:val="000000"/>
          <w:sz w:val="24"/>
          <w:szCs w:val="24"/>
          <w:lang w:val="en-GB"/>
        </w:rPr>
        <w:t>The Palaeographical and Demographic Situation in Ajara and Ajacent Regions During the Holocene</w:t>
      </w:r>
      <w:r w:rsidRPr="00440CB2">
        <w:rPr>
          <w:rFonts w:ascii="Sylfaen" w:hAnsi="Sylfaen"/>
          <w:color w:val="000000"/>
          <w:sz w:val="24"/>
          <w:szCs w:val="24"/>
          <w:lang w:val="en-GB"/>
        </w:rPr>
        <w:t>. - Essays on the history of South-West Georgia, Ajara I,</w:t>
      </w:r>
      <w:r w:rsidR="00683965">
        <w:rPr>
          <w:rFonts w:ascii="Sylfaen" w:hAnsi="Sylfaen"/>
          <w:color w:val="000000"/>
          <w:sz w:val="24"/>
          <w:szCs w:val="24"/>
          <w:lang w:val="en-GB"/>
        </w:rPr>
        <w:t xml:space="preserve"> Batumi,</w:t>
      </w:r>
      <w:r w:rsidRPr="00440CB2">
        <w:rPr>
          <w:rFonts w:ascii="Sylfaen" w:hAnsi="Sylfaen"/>
          <w:color w:val="000000"/>
          <w:sz w:val="24"/>
          <w:szCs w:val="24"/>
          <w:lang w:val="en-GB"/>
        </w:rPr>
        <w:t xml:space="preserve"> 2007, p. 20-25</w:t>
      </w:r>
      <w:r w:rsidR="00C03E98">
        <w:rPr>
          <w:rFonts w:ascii="Sylfaen" w:hAnsi="Sylfaen"/>
          <w:color w:val="000000"/>
          <w:sz w:val="24"/>
          <w:szCs w:val="24"/>
          <w:lang w:val="en-GB"/>
        </w:rPr>
        <w:t xml:space="preserve"> (</w:t>
      </w:r>
      <w:r w:rsidR="00C03E98" w:rsidRPr="00C03E98">
        <w:rPr>
          <w:rFonts w:ascii="Sylfaen" w:hAnsi="Sylfaen"/>
          <w:color w:val="538135" w:themeColor="accent6" w:themeShade="BF"/>
          <w:sz w:val="24"/>
          <w:szCs w:val="24"/>
          <w:lang w:val="en-GB"/>
        </w:rPr>
        <w:t>pdf</w:t>
      </w:r>
      <w:r w:rsidR="00C03E98">
        <w:rPr>
          <w:rFonts w:ascii="Sylfaen" w:hAnsi="Sylfaen"/>
          <w:color w:val="000000"/>
          <w:sz w:val="24"/>
          <w:szCs w:val="24"/>
          <w:lang w:val="en-GB"/>
        </w:rPr>
        <w:t xml:space="preserve">) </w:t>
      </w:r>
    </w:p>
    <w:p w14:paraId="349A2237" w14:textId="357608BA" w:rsidR="005E7E89" w:rsidRPr="00440CB2" w:rsidRDefault="005E7E89" w:rsidP="00440CB2">
      <w:pPr>
        <w:spacing w:after="0" w:line="360" w:lineRule="auto"/>
        <w:ind w:firstLine="720"/>
        <w:jc w:val="both"/>
        <w:rPr>
          <w:rFonts w:ascii="Sylfaen" w:hAnsi="Sylfaen"/>
          <w:color w:val="000000"/>
          <w:sz w:val="24"/>
          <w:szCs w:val="24"/>
          <w:lang w:val="en-GB"/>
        </w:rPr>
      </w:pPr>
      <w:r w:rsidRPr="00440CB2">
        <w:rPr>
          <w:rFonts w:ascii="Sylfaen" w:hAnsi="Sylfaen"/>
          <w:color w:val="000000"/>
          <w:sz w:val="24"/>
          <w:szCs w:val="24"/>
          <w:lang w:val="en-GB"/>
        </w:rPr>
        <w:t xml:space="preserve">11. </w:t>
      </w:r>
      <w:proofErr w:type="spellStart"/>
      <w:r w:rsidRPr="00440CB2">
        <w:rPr>
          <w:rFonts w:ascii="Sylfaen" w:hAnsi="Sylfaen"/>
          <w:b/>
          <w:bCs/>
          <w:color w:val="000000"/>
          <w:sz w:val="24"/>
          <w:szCs w:val="24"/>
          <w:lang w:val="en-GB"/>
        </w:rPr>
        <w:t>Khakhutaishvili</w:t>
      </w:r>
      <w:proofErr w:type="spellEnd"/>
      <w:r w:rsidRPr="00440CB2">
        <w:rPr>
          <w:rFonts w:ascii="Sylfaen" w:hAnsi="Sylfaen"/>
          <w:b/>
          <w:bCs/>
          <w:color w:val="000000"/>
          <w:sz w:val="24"/>
          <w:szCs w:val="24"/>
          <w:lang w:val="en-GB"/>
        </w:rPr>
        <w:t xml:space="preserve"> D</w:t>
      </w:r>
      <w:r w:rsidRPr="00440CB2">
        <w:rPr>
          <w:rFonts w:ascii="Sylfaen" w:hAnsi="Sylfaen"/>
          <w:color w:val="000000"/>
          <w:sz w:val="24"/>
          <w:szCs w:val="24"/>
          <w:lang w:val="en-GB"/>
        </w:rPr>
        <w:t xml:space="preserve">., Handicraft. - Essays on the History of South-West Georgia, Ajara I, </w:t>
      </w:r>
      <w:r w:rsidR="00683965">
        <w:rPr>
          <w:rFonts w:ascii="Sylfaen" w:hAnsi="Sylfaen"/>
          <w:color w:val="000000"/>
          <w:sz w:val="24"/>
          <w:szCs w:val="24"/>
          <w:lang w:val="en-GB"/>
        </w:rPr>
        <w:t xml:space="preserve">Batumi, </w:t>
      </w:r>
      <w:r w:rsidRPr="00440CB2">
        <w:rPr>
          <w:rFonts w:ascii="Sylfaen" w:hAnsi="Sylfaen"/>
          <w:color w:val="000000"/>
          <w:sz w:val="24"/>
          <w:szCs w:val="24"/>
          <w:lang w:val="en-GB"/>
        </w:rPr>
        <w:t>2007, pp. 140-143</w:t>
      </w:r>
      <w:r w:rsidR="00C03E98">
        <w:rPr>
          <w:rFonts w:ascii="Sylfaen" w:hAnsi="Sylfaen"/>
          <w:color w:val="000000"/>
          <w:sz w:val="24"/>
          <w:szCs w:val="24"/>
          <w:lang w:val="en-GB"/>
        </w:rPr>
        <w:t xml:space="preserve"> (</w:t>
      </w:r>
      <w:r w:rsidR="00C03E98" w:rsidRPr="00C03E98">
        <w:rPr>
          <w:rFonts w:ascii="Sylfaen" w:hAnsi="Sylfaen"/>
          <w:color w:val="538135" w:themeColor="accent6" w:themeShade="BF"/>
          <w:sz w:val="24"/>
          <w:szCs w:val="24"/>
          <w:lang w:val="en-GB"/>
        </w:rPr>
        <w:t>pdf</w:t>
      </w:r>
      <w:r w:rsidR="00C03E98">
        <w:rPr>
          <w:rFonts w:ascii="Sylfaen" w:hAnsi="Sylfaen"/>
          <w:color w:val="000000"/>
          <w:sz w:val="24"/>
          <w:szCs w:val="24"/>
          <w:lang w:val="en-GB"/>
        </w:rPr>
        <w:t>)</w:t>
      </w:r>
    </w:p>
    <w:p w14:paraId="7D28F13E" w14:textId="77777777" w:rsidR="005E7E89" w:rsidRPr="00440CB2" w:rsidRDefault="005E7E89" w:rsidP="001E0103">
      <w:pPr>
        <w:spacing w:after="0" w:line="360" w:lineRule="auto"/>
        <w:ind w:firstLine="720"/>
        <w:jc w:val="both"/>
        <w:rPr>
          <w:rFonts w:ascii="Sylfaen" w:hAnsi="Sylfaen"/>
          <w:color w:val="000000"/>
          <w:sz w:val="24"/>
          <w:szCs w:val="24"/>
          <w:lang w:val="en-GB"/>
        </w:rPr>
      </w:pPr>
    </w:p>
    <w:p w14:paraId="26BBC658" w14:textId="77777777" w:rsidR="001E0103" w:rsidRPr="00440CB2" w:rsidRDefault="001E0103" w:rsidP="001E0103">
      <w:pPr>
        <w:spacing w:after="0" w:line="360" w:lineRule="auto"/>
        <w:ind w:firstLine="720"/>
        <w:jc w:val="both"/>
        <w:rPr>
          <w:rFonts w:ascii="Sylfaen" w:hAnsi="Sylfaen"/>
          <w:color w:val="000000"/>
          <w:sz w:val="24"/>
          <w:szCs w:val="24"/>
          <w:lang w:val="en-GB"/>
        </w:rPr>
      </w:pPr>
    </w:p>
    <w:p w14:paraId="22B45DF9" w14:textId="77777777" w:rsidR="00036579" w:rsidRPr="00DA498D" w:rsidRDefault="00036579" w:rsidP="00036579">
      <w:pPr>
        <w:spacing w:after="0" w:line="360" w:lineRule="auto"/>
        <w:ind w:firstLine="720"/>
        <w:jc w:val="both"/>
        <w:rPr>
          <w:rFonts w:ascii="Sylfaen" w:hAnsi="Sylfaen"/>
          <w:sz w:val="24"/>
          <w:szCs w:val="24"/>
          <w:lang w:val="en-GB"/>
        </w:rPr>
      </w:pPr>
    </w:p>
    <w:p w14:paraId="7C85E5F5" w14:textId="0C399D97" w:rsidR="00036579" w:rsidRPr="00DA498D" w:rsidRDefault="00036579" w:rsidP="00036579">
      <w:pPr>
        <w:spacing w:after="0" w:line="360" w:lineRule="auto"/>
        <w:ind w:firstLine="720"/>
        <w:jc w:val="both"/>
        <w:rPr>
          <w:rFonts w:ascii="Sylfaen" w:hAnsi="Sylfaen"/>
          <w:color w:val="000000"/>
          <w:sz w:val="24"/>
          <w:szCs w:val="24"/>
          <w:lang w:val="en-GB"/>
        </w:rPr>
      </w:pPr>
      <w:r w:rsidRPr="00DA498D">
        <w:rPr>
          <w:rStyle w:val="Strong"/>
          <w:rFonts w:ascii="Sylfaen" w:hAnsi="Sylfaen"/>
          <w:color w:val="000000"/>
          <w:sz w:val="24"/>
          <w:szCs w:val="24"/>
          <w:lang w:val="en-GB"/>
        </w:rPr>
        <w:t>Passport compiled by:</w:t>
      </w:r>
      <w:r w:rsidRPr="00DA498D">
        <w:rPr>
          <w:rStyle w:val="apple-converted-space"/>
          <w:rFonts w:ascii="Sylfaen" w:hAnsi="Sylfaen"/>
          <w:color w:val="000000"/>
          <w:sz w:val="24"/>
          <w:szCs w:val="24"/>
          <w:lang w:val="en-GB"/>
        </w:rPr>
        <w:t> </w:t>
      </w:r>
      <w:r w:rsidRPr="00DA498D">
        <w:rPr>
          <w:rStyle w:val="Strong"/>
          <w:rFonts w:ascii="Sylfaen" w:hAnsi="Sylfaen"/>
          <w:color w:val="000000"/>
          <w:sz w:val="24"/>
          <w:szCs w:val="24"/>
          <w:lang w:val="en-GB"/>
        </w:rPr>
        <w:t>Nargiz Surmanidze</w:t>
      </w:r>
      <w:r w:rsidRPr="00DA498D">
        <w:rPr>
          <w:rFonts w:ascii="Sylfaen" w:hAnsi="Sylfaen"/>
          <w:color w:val="000000"/>
          <w:sz w:val="24"/>
          <w:szCs w:val="24"/>
          <w:lang w:val="en-GB"/>
        </w:rPr>
        <w:t>, PhD in History, LEPL Ajara Museum - Amiran Kakhidze Ajara Archaeological Museum</w:t>
      </w:r>
      <w:r>
        <w:rPr>
          <w:rFonts w:ascii="Sylfaen" w:hAnsi="Sylfaen"/>
          <w:color w:val="000000"/>
          <w:sz w:val="24"/>
          <w:szCs w:val="24"/>
          <w:lang w:val="en-GB"/>
        </w:rPr>
        <w:t xml:space="preserve">, </w:t>
      </w:r>
      <w:r w:rsidRPr="00DA498D">
        <w:rPr>
          <w:rFonts w:ascii="Sylfaen" w:hAnsi="Sylfaen"/>
          <w:color w:val="000000"/>
          <w:sz w:val="24"/>
          <w:szCs w:val="24"/>
          <w:lang w:val="en-GB"/>
        </w:rPr>
        <w:t>Researche</w:t>
      </w:r>
      <w:r>
        <w:rPr>
          <w:rFonts w:ascii="Sylfaen" w:hAnsi="Sylfaen"/>
          <w:color w:val="000000"/>
          <w:sz w:val="24"/>
          <w:szCs w:val="24"/>
          <w:lang w:val="en-GB"/>
        </w:rPr>
        <w:t>r</w:t>
      </w:r>
    </w:p>
    <w:p w14:paraId="0CB4EA53" w14:textId="77777777" w:rsidR="001E0103" w:rsidRPr="00440CB2" w:rsidRDefault="001E0103" w:rsidP="00F832CC">
      <w:pPr>
        <w:spacing w:after="0" w:line="360" w:lineRule="auto"/>
        <w:ind w:firstLine="720"/>
        <w:jc w:val="both"/>
        <w:rPr>
          <w:rFonts w:ascii="Sylfaen" w:hAnsi="Sylfaen"/>
          <w:color w:val="000000"/>
          <w:sz w:val="24"/>
          <w:szCs w:val="24"/>
          <w:lang w:val="en-GB"/>
        </w:rPr>
      </w:pPr>
    </w:p>
    <w:p w14:paraId="138E2927" w14:textId="77777777" w:rsidR="00F832CC" w:rsidRPr="00440CB2" w:rsidRDefault="00F832CC" w:rsidP="00F832CC">
      <w:pPr>
        <w:spacing w:after="0" w:line="360" w:lineRule="auto"/>
        <w:ind w:firstLine="720"/>
        <w:jc w:val="both"/>
        <w:rPr>
          <w:rFonts w:ascii="Sylfaen" w:hAnsi="Sylfaen"/>
          <w:color w:val="000000"/>
          <w:sz w:val="24"/>
          <w:szCs w:val="24"/>
          <w:lang w:val="en-GB"/>
        </w:rPr>
      </w:pPr>
    </w:p>
    <w:p w14:paraId="4FCD7D15" w14:textId="77777777" w:rsidR="0025679C" w:rsidRPr="00440CB2" w:rsidRDefault="0025679C" w:rsidP="0025679C">
      <w:pPr>
        <w:spacing w:after="0" w:line="360" w:lineRule="auto"/>
        <w:ind w:firstLine="720"/>
        <w:jc w:val="both"/>
        <w:rPr>
          <w:rFonts w:ascii="Sylfaen" w:hAnsi="Sylfaen"/>
          <w:b/>
          <w:bCs/>
          <w:sz w:val="24"/>
          <w:szCs w:val="24"/>
          <w:lang w:val="en-GB"/>
        </w:rPr>
      </w:pPr>
    </w:p>
    <w:p w14:paraId="19446626" w14:textId="77777777" w:rsidR="00593C8C" w:rsidRPr="00440CB2" w:rsidRDefault="00593C8C" w:rsidP="00593C8C">
      <w:pPr>
        <w:pStyle w:val="NormalWeb"/>
        <w:spacing w:before="0" w:beforeAutospacing="0" w:after="0" w:afterAutospacing="0" w:line="360" w:lineRule="auto"/>
        <w:ind w:firstLine="720"/>
        <w:jc w:val="both"/>
        <w:rPr>
          <w:rFonts w:ascii="Sylfaen" w:hAnsi="Sylfaen"/>
          <w:color w:val="000000"/>
          <w:lang w:val="en-GB"/>
        </w:rPr>
      </w:pPr>
    </w:p>
    <w:p w14:paraId="700F7946" w14:textId="77777777" w:rsidR="00063434" w:rsidRPr="00440CB2" w:rsidRDefault="00063434" w:rsidP="00864685">
      <w:pPr>
        <w:rPr>
          <w:lang w:val="en-GB"/>
        </w:rPr>
      </w:pPr>
    </w:p>
    <w:sectPr w:rsidR="00063434" w:rsidRPr="00440CB2" w:rsidSect="009D2F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685"/>
    <w:rsid w:val="00036579"/>
    <w:rsid w:val="00063434"/>
    <w:rsid w:val="00063E91"/>
    <w:rsid w:val="000971BE"/>
    <w:rsid w:val="000B7882"/>
    <w:rsid w:val="001D655A"/>
    <w:rsid w:val="001E0103"/>
    <w:rsid w:val="0025679C"/>
    <w:rsid w:val="002A64EF"/>
    <w:rsid w:val="003D4BE9"/>
    <w:rsid w:val="003F758E"/>
    <w:rsid w:val="00440CB2"/>
    <w:rsid w:val="0046446C"/>
    <w:rsid w:val="00593C8C"/>
    <w:rsid w:val="005A1781"/>
    <w:rsid w:val="005E7E89"/>
    <w:rsid w:val="00683965"/>
    <w:rsid w:val="006F65D6"/>
    <w:rsid w:val="00864685"/>
    <w:rsid w:val="00904298"/>
    <w:rsid w:val="00962395"/>
    <w:rsid w:val="009D2FA5"/>
    <w:rsid w:val="00B90953"/>
    <w:rsid w:val="00BD1AE1"/>
    <w:rsid w:val="00C03E98"/>
    <w:rsid w:val="00C0563E"/>
    <w:rsid w:val="00C47282"/>
    <w:rsid w:val="00EF7062"/>
    <w:rsid w:val="00F135E3"/>
    <w:rsid w:val="00F832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385C9"/>
  <w15:chartTrackingRefBased/>
  <w15:docId w15:val="{DD3ECD38-8C28-D54C-944C-689A84B6E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685"/>
    <w:pPr>
      <w:spacing w:after="200" w:line="276" w:lineRule="auto"/>
    </w:pPr>
    <w:rPr>
      <w:kern w:val="0"/>
      <w:sz w:val="22"/>
      <w:szCs w:val="22"/>
      <w:lang w:val="ru-RU"/>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6468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864685"/>
    <w:rPr>
      <w:b/>
      <w:bCs/>
    </w:rPr>
  </w:style>
  <w:style w:type="character" w:customStyle="1" w:styleId="apple-converted-space">
    <w:name w:val="apple-converted-space"/>
    <w:basedOn w:val="DefaultParagraphFont"/>
    <w:rsid w:val="00864685"/>
  </w:style>
  <w:style w:type="character" w:styleId="Emphasis">
    <w:name w:val="Emphasis"/>
    <w:basedOn w:val="DefaultParagraphFont"/>
    <w:uiPriority w:val="20"/>
    <w:qFormat/>
    <w:rsid w:val="00864685"/>
    <w:rPr>
      <w:i/>
      <w:iCs/>
    </w:rPr>
  </w:style>
  <w:style w:type="character" w:styleId="Hyperlink">
    <w:name w:val="Hyperlink"/>
    <w:basedOn w:val="DefaultParagraphFont"/>
    <w:uiPriority w:val="99"/>
    <w:unhideWhenUsed/>
    <w:rsid w:val="00440CB2"/>
    <w:rPr>
      <w:color w:val="0563C1" w:themeColor="hyperlink"/>
      <w:u w:val="single"/>
    </w:rPr>
  </w:style>
  <w:style w:type="character" w:styleId="UnresolvedMention">
    <w:name w:val="Unresolved Mention"/>
    <w:basedOn w:val="DefaultParagraphFont"/>
    <w:uiPriority w:val="99"/>
    <w:semiHidden/>
    <w:unhideWhenUsed/>
    <w:rsid w:val="00440C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20591">
      <w:bodyDiv w:val="1"/>
      <w:marLeft w:val="0"/>
      <w:marRight w:val="0"/>
      <w:marTop w:val="0"/>
      <w:marBottom w:val="0"/>
      <w:divBdr>
        <w:top w:val="none" w:sz="0" w:space="0" w:color="auto"/>
        <w:left w:val="none" w:sz="0" w:space="0" w:color="auto"/>
        <w:bottom w:val="none" w:sz="0" w:space="0" w:color="auto"/>
        <w:right w:val="none" w:sz="0" w:space="0" w:color="auto"/>
      </w:divBdr>
    </w:div>
    <w:div w:id="135803123">
      <w:bodyDiv w:val="1"/>
      <w:marLeft w:val="0"/>
      <w:marRight w:val="0"/>
      <w:marTop w:val="0"/>
      <w:marBottom w:val="0"/>
      <w:divBdr>
        <w:top w:val="none" w:sz="0" w:space="0" w:color="auto"/>
        <w:left w:val="none" w:sz="0" w:space="0" w:color="auto"/>
        <w:bottom w:val="none" w:sz="0" w:space="0" w:color="auto"/>
        <w:right w:val="none" w:sz="0" w:space="0" w:color="auto"/>
      </w:divBdr>
    </w:div>
    <w:div w:id="174076393">
      <w:bodyDiv w:val="1"/>
      <w:marLeft w:val="0"/>
      <w:marRight w:val="0"/>
      <w:marTop w:val="0"/>
      <w:marBottom w:val="0"/>
      <w:divBdr>
        <w:top w:val="none" w:sz="0" w:space="0" w:color="auto"/>
        <w:left w:val="none" w:sz="0" w:space="0" w:color="auto"/>
        <w:bottom w:val="none" w:sz="0" w:space="0" w:color="auto"/>
        <w:right w:val="none" w:sz="0" w:space="0" w:color="auto"/>
      </w:divBdr>
    </w:div>
    <w:div w:id="771825595">
      <w:bodyDiv w:val="1"/>
      <w:marLeft w:val="0"/>
      <w:marRight w:val="0"/>
      <w:marTop w:val="0"/>
      <w:marBottom w:val="0"/>
      <w:divBdr>
        <w:top w:val="none" w:sz="0" w:space="0" w:color="auto"/>
        <w:left w:val="none" w:sz="0" w:space="0" w:color="auto"/>
        <w:bottom w:val="none" w:sz="0" w:space="0" w:color="auto"/>
        <w:right w:val="none" w:sz="0" w:space="0" w:color="auto"/>
      </w:divBdr>
    </w:div>
    <w:div w:id="929319234">
      <w:bodyDiv w:val="1"/>
      <w:marLeft w:val="0"/>
      <w:marRight w:val="0"/>
      <w:marTop w:val="0"/>
      <w:marBottom w:val="0"/>
      <w:divBdr>
        <w:top w:val="none" w:sz="0" w:space="0" w:color="auto"/>
        <w:left w:val="none" w:sz="0" w:space="0" w:color="auto"/>
        <w:bottom w:val="none" w:sz="0" w:space="0" w:color="auto"/>
        <w:right w:val="none" w:sz="0" w:space="0" w:color="auto"/>
      </w:divBdr>
    </w:div>
    <w:div w:id="1144927818">
      <w:bodyDiv w:val="1"/>
      <w:marLeft w:val="0"/>
      <w:marRight w:val="0"/>
      <w:marTop w:val="0"/>
      <w:marBottom w:val="0"/>
      <w:divBdr>
        <w:top w:val="none" w:sz="0" w:space="0" w:color="auto"/>
        <w:left w:val="none" w:sz="0" w:space="0" w:color="auto"/>
        <w:bottom w:val="none" w:sz="0" w:space="0" w:color="auto"/>
        <w:right w:val="none" w:sz="0" w:space="0" w:color="auto"/>
      </w:divBdr>
    </w:div>
    <w:div w:id="1185439099">
      <w:bodyDiv w:val="1"/>
      <w:marLeft w:val="0"/>
      <w:marRight w:val="0"/>
      <w:marTop w:val="0"/>
      <w:marBottom w:val="0"/>
      <w:divBdr>
        <w:top w:val="none" w:sz="0" w:space="0" w:color="auto"/>
        <w:left w:val="none" w:sz="0" w:space="0" w:color="auto"/>
        <w:bottom w:val="none" w:sz="0" w:space="0" w:color="auto"/>
        <w:right w:val="none" w:sz="0" w:space="0" w:color="auto"/>
      </w:divBdr>
    </w:div>
    <w:div w:id="1349067007">
      <w:bodyDiv w:val="1"/>
      <w:marLeft w:val="0"/>
      <w:marRight w:val="0"/>
      <w:marTop w:val="0"/>
      <w:marBottom w:val="0"/>
      <w:divBdr>
        <w:top w:val="none" w:sz="0" w:space="0" w:color="auto"/>
        <w:left w:val="none" w:sz="0" w:space="0" w:color="auto"/>
        <w:bottom w:val="none" w:sz="0" w:space="0" w:color="auto"/>
        <w:right w:val="none" w:sz="0" w:space="0" w:color="auto"/>
      </w:divBdr>
    </w:div>
    <w:div w:id="1427188563">
      <w:bodyDiv w:val="1"/>
      <w:marLeft w:val="0"/>
      <w:marRight w:val="0"/>
      <w:marTop w:val="0"/>
      <w:marBottom w:val="0"/>
      <w:divBdr>
        <w:top w:val="none" w:sz="0" w:space="0" w:color="auto"/>
        <w:left w:val="none" w:sz="0" w:space="0" w:color="auto"/>
        <w:bottom w:val="none" w:sz="0" w:space="0" w:color="auto"/>
        <w:right w:val="none" w:sz="0" w:space="0" w:color="auto"/>
      </w:divBdr>
    </w:div>
    <w:div w:id="1864200480">
      <w:bodyDiv w:val="1"/>
      <w:marLeft w:val="0"/>
      <w:marRight w:val="0"/>
      <w:marTop w:val="0"/>
      <w:marBottom w:val="0"/>
      <w:divBdr>
        <w:top w:val="none" w:sz="0" w:space="0" w:color="auto"/>
        <w:left w:val="none" w:sz="0" w:space="0" w:color="auto"/>
        <w:bottom w:val="none" w:sz="0" w:space="0" w:color="auto"/>
        <w:right w:val="none" w:sz="0" w:space="0" w:color="auto"/>
      </w:divBdr>
      <w:divsChild>
        <w:div w:id="1994481914">
          <w:marLeft w:val="0"/>
          <w:marRight w:val="0"/>
          <w:marTop w:val="0"/>
          <w:marBottom w:val="0"/>
          <w:divBdr>
            <w:top w:val="none" w:sz="0" w:space="0" w:color="auto"/>
            <w:left w:val="none" w:sz="0" w:space="0" w:color="auto"/>
            <w:bottom w:val="none" w:sz="0" w:space="0" w:color="auto"/>
            <w:right w:val="none" w:sz="0" w:space="0" w:color="auto"/>
          </w:divBdr>
          <w:divsChild>
            <w:div w:id="653991087">
              <w:marLeft w:val="0"/>
              <w:marRight w:val="0"/>
              <w:marTop w:val="0"/>
              <w:marBottom w:val="0"/>
              <w:divBdr>
                <w:top w:val="none" w:sz="0" w:space="0" w:color="auto"/>
                <w:left w:val="none" w:sz="0" w:space="0" w:color="auto"/>
                <w:bottom w:val="none" w:sz="0" w:space="0" w:color="auto"/>
                <w:right w:val="none" w:sz="0" w:space="0" w:color="auto"/>
              </w:divBdr>
              <w:divsChild>
                <w:div w:id="464543581">
                  <w:marLeft w:val="0"/>
                  <w:marRight w:val="0"/>
                  <w:marTop w:val="0"/>
                  <w:marBottom w:val="0"/>
                  <w:divBdr>
                    <w:top w:val="none" w:sz="0" w:space="0" w:color="auto"/>
                    <w:left w:val="none" w:sz="0" w:space="0" w:color="auto"/>
                    <w:bottom w:val="none" w:sz="0" w:space="0" w:color="auto"/>
                    <w:right w:val="none" w:sz="0" w:space="0" w:color="auto"/>
                  </w:divBdr>
                  <w:divsChild>
                    <w:div w:id="704521533">
                      <w:marLeft w:val="0"/>
                      <w:marRight w:val="0"/>
                      <w:marTop w:val="0"/>
                      <w:marBottom w:val="0"/>
                      <w:divBdr>
                        <w:top w:val="none" w:sz="0" w:space="0" w:color="auto"/>
                        <w:left w:val="none" w:sz="0" w:space="0" w:color="auto"/>
                        <w:bottom w:val="none" w:sz="0" w:space="0" w:color="auto"/>
                        <w:right w:val="none" w:sz="0" w:space="0" w:color="auto"/>
                      </w:divBdr>
                      <w:divsChild>
                        <w:div w:id="864517587">
                          <w:marLeft w:val="0"/>
                          <w:marRight w:val="0"/>
                          <w:marTop w:val="0"/>
                          <w:marBottom w:val="0"/>
                          <w:divBdr>
                            <w:top w:val="none" w:sz="0" w:space="0" w:color="auto"/>
                            <w:left w:val="none" w:sz="0" w:space="0" w:color="auto"/>
                            <w:bottom w:val="none" w:sz="0" w:space="0" w:color="auto"/>
                            <w:right w:val="none" w:sz="0" w:space="0" w:color="auto"/>
                          </w:divBdr>
                          <w:divsChild>
                            <w:div w:id="1336692803">
                              <w:marLeft w:val="0"/>
                              <w:marRight w:val="0"/>
                              <w:marTop w:val="0"/>
                              <w:marBottom w:val="0"/>
                              <w:divBdr>
                                <w:top w:val="none" w:sz="0" w:space="0" w:color="auto"/>
                                <w:left w:val="none" w:sz="0" w:space="0" w:color="auto"/>
                                <w:bottom w:val="none" w:sz="0" w:space="0" w:color="auto"/>
                                <w:right w:val="none" w:sz="0" w:space="0" w:color="auto"/>
                              </w:divBdr>
                              <w:divsChild>
                                <w:div w:id="1465125137">
                                  <w:marLeft w:val="0"/>
                                  <w:marRight w:val="0"/>
                                  <w:marTop w:val="0"/>
                                  <w:marBottom w:val="0"/>
                                  <w:divBdr>
                                    <w:top w:val="none" w:sz="0" w:space="0" w:color="auto"/>
                                    <w:left w:val="none" w:sz="0" w:space="0" w:color="auto"/>
                                    <w:bottom w:val="none" w:sz="0" w:space="0" w:color="auto"/>
                                    <w:right w:val="none" w:sz="0" w:space="0" w:color="auto"/>
                                  </w:divBdr>
                                  <w:divsChild>
                                    <w:div w:id="66783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9107584">
      <w:bodyDiv w:val="1"/>
      <w:marLeft w:val="0"/>
      <w:marRight w:val="0"/>
      <w:marTop w:val="0"/>
      <w:marBottom w:val="0"/>
      <w:divBdr>
        <w:top w:val="none" w:sz="0" w:space="0" w:color="auto"/>
        <w:left w:val="none" w:sz="0" w:space="0" w:color="auto"/>
        <w:bottom w:val="none" w:sz="0" w:space="0" w:color="auto"/>
        <w:right w:val="none" w:sz="0" w:space="0" w:color="auto"/>
      </w:divBdr>
    </w:div>
    <w:div w:id="2127311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1</Pages>
  <Words>1095</Words>
  <Characters>6242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Microsoft Office</dc:creator>
  <cp:keywords/>
  <dc:description/>
  <cp:lastModifiedBy>Windows</cp:lastModifiedBy>
  <cp:revision>14</cp:revision>
  <dcterms:created xsi:type="dcterms:W3CDTF">2026-06-23T19:03:00Z</dcterms:created>
  <dcterms:modified xsi:type="dcterms:W3CDTF">2026-07-28T07:59:00Z</dcterms:modified>
</cp:coreProperties>
</file>