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2097D" w14:textId="77777777" w:rsidR="00864685" w:rsidRPr="00864685" w:rsidRDefault="00864685" w:rsidP="00864685">
      <w:pPr>
        <w:spacing w:after="0" w:line="360" w:lineRule="auto"/>
        <w:jc w:val="center"/>
        <w:rPr>
          <w:rFonts w:ascii="Sylfaen" w:hAnsi="Sylfaen"/>
          <w:b/>
          <w:bCs/>
          <w:sz w:val="24"/>
          <w:szCs w:val="24"/>
          <w:lang w:val="en-GB"/>
        </w:rPr>
      </w:pPr>
      <w:r w:rsidRPr="00864685">
        <w:rPr>
          <w:rFonts w:ascii="Sylfaen" w:hAnsi="Sylfaen"/>
          <w:b/>
          <w:bCs/>
          <w:sz w:val="24"/>
          <w:szCs w:val="24"/>
          <w:lang w:val="en-GB"/>
        </w:rPr>
        <w:t>Passport of Archaeological Monument</w:t>
      </w:r>
    </w:p>
    <w:p w14:paraId="3202DA07" w14:textId="77777777" w:rsidR="00864685" w:rsidRPr="00864685" w:rsidRDefault="00864685" w:rsidP="00864685">
      <w:pPr>
        <w:spacing w:after="0" w:line="360" w:lineRule="auto"/>
        <w:jc w:val="center"/>
        <w:rPr>
          <w:rFonts w:ascii="Sylfaen" w:hAnsi="Sylfaen"/>
          <w:b/>
          <w:bCs/>
          <w:sz w:val="24"/>
          <w:szCs w:val="24"/>
          <w:lang w:val="en-GB"/>
        </w:rPr>
      </w:pPr>
    </w:p>
    <w:p w14:paraId="3272FB50" w14:textId="77777777" w:rsidR="00864685" w:rsidRPr="00C61E1D" w:rsidRDefault="00864685" w:rsidP="00864685">
      <w:pPr>
        <w:tabs>
          <w:tab w:val="left" w:pos="360"/>
        </w:tabs>
        <w:spacing w:after="0" w:line="360" w:lineRule="auto"/>
        <w:ind w:firstLine="720"/>
        <w:jc w:val="both"/>
        <w:rPr>
          <w:rFonts w:ascii="Sylfaen" w:hAnsi="Sylfaen"/>
          <w:sz w:val="24"/>
          <w:szCs w:val="24"/>
          <w:lang w:val="en-US"/>
        </w:rPr>
      </w:pPr>
      <w:r w:rsidRPr="00864685">
        <w:rPr>
          <w:rFonts w:ascii="Sylfaen" w:hAnsi="Sylfaen"/>
          <w:b/>
          <w:bCs/>
          <w:sz w:val="24"/>
          <w:szCs w:val="24"/>
          <w:lang w:val="en-GB"/>
        </w:rPr>
        <w:t>Name of archaeological site</w:t>
      </w:r>
      <w:r w:rsidRPr="00864685">
        <w:rPr>
          <w:rFonts w:ascii="Sylfaen" w:hAnsi="Sylfaen"/>
          <w:sz w:val="24"/>
          <w:szCs w:val="24"/>
          <w:lang w:val="en-GB"/>
        </w:rPr>
        <w:t xml:space="preserve">: </w:t>
      </w:r>
      <w:r w:rsidR="00F54DD1" w:rsidRPr="00F54DD1">
        <w:rPr>
          <w:rFonts w:ascii="Sylfaen" w:hAnsi="Sylfaen"/>
          <w:sz w:val="24"/>
          <w:szCs w:val="24"/>
          <w:lang w:val="en-GB"/>
        </w:rPr>
        <w:t>Dandalo Medieval Stone Arch Bridge</w:t>
      </w:r>
    </w:p>
    <w:p w14:paraId="001FEB75" w14:textId="77777777" w:rsidR="00864685" w:rsidRPr="00864685" w:rsidRDefault="00864685" w:rsidP="00864685">
      <w:pPr>
        <w:tabs>
          <w:tab w:val="left" w:pos="360"/>
        </w:tabs>
        <w:spacing w:after="0" w:line="360" w:lineRule="auto"/>
        <w:ind w:firstLine="720"/>
        <w:jc w:val="both"/>
        <w:rPr>
          <w:rFonts w:ascii="Sylfaen" w:hAnsi="Sylfaen"/>
          <w:sz w:val="24"/>
          <w:szCs w:val="24"/>
          <w:lang w:val="en-GB"/>
        </w:rPr>
      </w:pPr>
      <w:r w:rsidRPr="00864685">
        <w:rPr>
          <w:rFonts w:ascii="Sylfaen" w:hAnsi="Sylfaen"/>
          <w:b/>
          <w:bCs/>
          <w:sz w:val="24"/>
          <w:szCs w:val="24"/>
          <w:lang w:val="en-GB"/>
        </w:rPr>
        <w:t>Type of archaeological site:</w:t>
      </w:r>
      <w:r w:rsidRPr="00864685">
        <w:rPr>
          <w:rFonts w:ascii="Sylfaen" w:hAnsi="Sylfaen"/>
          <w:sz w:val="24"/>
          <w:szCs w:val="24"/>
          <w:lang w:val="en-GB"/>
        </w:rPr>
        <w:t xml:space="preserve"> </w:t>
      </w:r>
      <w:r w:rsidR="00F54DD1" w:rsidRPr="00F54DD1">
        <w:rPr>
          <w:rFonts w:ascii="Sylfaen" w:hAnsi="Sylfaen"/>
          <w:sz w:val="24"/>
          <w:szCs w:val="24"/>
          <w:lang w:val="en-GB"/>
        </w:rPr>
        <w:t>Bridge</w:t>
      </w:r>
    </w:p>
    <w:p w14:paraId="63988E3D" w14:textId="77777777" w:rsidR="002C45FB" w:rsidRPr="002C45FB" w:rsidRDefault="00864685" w:rsidP="002C45FB">
      <w:pPr>
        <w:tabs>
          <w:tab w:val="left" w:pos="360"/>
        </w:tabs>
        <w:spacing w:after="0" w:line="360" w:lineRule="auto"/>
        <w:ind w:firstLine="720"/>
        <w:jc w:val="both"/>
        <w:rPr>
          <w:rFonts w:ascii="Sylfaen" w:hAnsi="Sylfaen"/>
          <w:sz w:val="24"/>
          <w:szCs w:val="24"/>
          <w:lang w:val="en-US"/>
        </w:rPr>
      </w:pPr>
      <w:r w:rsidRPr="00864685">
        <w:rPr>
          <w:rFonts w:ascii="Sylfaen" w:hAnsi="Sylfaen"/>
          <w:b/>
          <w:bCs/>
          <w:sz w:val="24"/>
          <w:szCs w:val="24"/>
          <w:lang w:val="en-GB"/>
        </w:rPr>
        <w:t>Chronological attribution (historical era, exact date)</w:t>
      </w:r>
      <w:r w:rsidRPr="00864685">
        <w:rPr>
          <w:rFonts w:ascii="Sylfaen" w:hAnsi="Sylfaen"/>
          <w:sz w:val="24"/>
          <w:szCs w:val="24"/>
          <w:lang w:val="en-GB"/>
        </w:rPr>
        <w:t xml:space="preserve"> </w:t>
      </w:r>
      <w:r w:rsidR="002C45FB">
        <w:rPr>
          <w:rFonts w:ascii="Sylfaen" w:hAnsi="Sylfaen"/>
          <w:sz w:val="24"/>
          <w:szCs w:val="24"/>
          <w:lang w:val="ka-GE"/>
        </w:rPr>
        <w:t>–</w:t>
      </w:r>
      <w:r w:rsidR="00C61E1D">
        <w:rPr>
          <w:rFonts w:ascii="Sylfaen" w:hAnsi="Sylfaen"/>
          <w:sz w:val="24"/>
          <w:szCs w:val="24"/>
          <w:lang w:val="ka-GE"/>
        </w:rPr>
        <w:t xml:space="preserve"> </w:t>
      </w:r>
      <w:r w:rsidR="00F54DD1" w:rsidRPr="00F54DD1">
        <w:rPr>
          <w:rFonts w:ascii="Sylfaen" w:hAnsi="Sylfaen"/>
          <w:sz w:val="24"/>
          <w:szCs w:val="24"/>
          <w:lang w:val="ka-GE"/>
        </w:rPr>
        <w:t>AD 11th-13th centuries</w:t>
      </w:r>
    </w:p>
    <w:p w14:paraId="6E95B6D7" w14:textId="73F340E2" w:rsidR="00864685" w:rsidRPr="00FE355C" w:rsidRDefault="00864685" w:rsidP="002C45FB">
      <w:pPr>
        <w:tabs>
          <w:tab w:val="left" w:pos="360"/>
        </w:tabs>
        <w:spacing w:after="0" w:line="360" w:lineRule="auto"/>
        <w:ind w:firstLine="720"/>
        <w:jc w:val="both"/>
        <w:rPr>
          <w:rFonts w:ascii="Sylfaen" w:hAnsi="Sylfaen"/>
          <w:sz w:val="24"/>
          <w:szCs w:val="24"/>
          <w:lang w:val="en-US"/>
        </w:rPr>
      </w:pPr>
      <w:r w:rsidRPr="00864685">
        <w:rPr>
          <w:rFonts w:ascii="Sylfaen" w:hAnsi="Sylfaen"/>
          <w:b/>
          <w:bCs/>
          <w:sz w:val="24"/>
          <w:szCs w:val="24"/>
          <w:lang w:val="en-GB"/>
        </w:rPr>
        <w:t>Address (municipality, city, village, valley, GPS Coordinates)</w:t>
      </w:r>
      <w:r w:rsidRPr="00864685">
        <w:rPr>
          <w:rFonts w:ascii="Sylfaen" w:hAnsi="Sylfaen"/>
          <w:sz w:val="24"/>
          <w:szCs w:val="24"/>
          <w:lang w:val="en-GB"/>
        </w:rPr>
        <w:t xml:space="preserve"> - </w:t>
      </w:r>
      <w:r w:rsidR="00F54DD1" w:rsidRPr="00F54DD1">
        <w:rPr>
          <w:rFonts w:ascii="Sylfaen" w:hAnsi="Sylfaen"/>
          <w:sz w:val="24"/>
          <w:szCs w:val="24"/>
          <w:lang w:val="en-GB"/>
        </w:rPr>
        <w:t>Keda Municipality, Dandalo village</w:t>
      </w:r>
      <w:r w:rsidR="00FE355C">
        <w:rPr>
          <w:rFonts w:ascii="Sylfaen" w:hAnsi="Sylfaen"/>
          <w:sz w:val="24"/>
          <w:szCs w:val="24"/>
          <w:lang w:val="en-GB"/>
        </w:rPr>
        <w:t xml:space="preserve">, </w:t>
      </w:r>
      <w:r w:rsidR="00FE355C" w:rsidRPr="00FE355C">
        <w:rPr>
          <w:rFonts w:ascii="Sylfaen" w:hAnsi="Sylfaen"/>
          <w:sz w:val="24"/>
          <w:szCs w:val="24"/>
          <w:lang w:val="en-US"/>
        </w:rPr>
        <w:t>41.646658/42.107911</w:t>
      </w:r>
    </w:p>
    <w:p w14:paraId="009447ED" w14:textId="77777777" w:rsidR="00864685" w:rsidRPr="00864685" w:rsidRDefault="00864685" w:rsidP="00593C8C">
      <w:pPr>
        <w:spacing w:after="0" w:line="360" w:lineRule="auto"/>
        <w:ind w:firstLine="720"/>
        <w:jc w:val="both"/>
        <w:rPr>
          <w:rFonts w:ascii="Sylfaen" w:hAnsi="Sylfaen"/>
          <w:b/>
          <w:bCs/>
          <w:sz w:val="24"/>
          <w:szCs w:val="24"/>
          <w:lang w:val="en-GB"/>
        </w:rPr>
      </w:pPr>
      <w:r w:rsidRPr="00864685">
        <w:rPr>
          <w:rFonts w:ascii="Sylfaen" w:hAnsi="Sylfaen"/>
          <w:b/>
          <w:bCs/>
          <w:sz w:val="24"/>
          <w:szCs w:val="24"/>
          <w:lang w:val="en-GB"/>
        </w:rPr>
        <w:t>History of study/research (circumstances of discovery, studies conducted on the monument, researchers working on the monument, bibliography):</w:t>
      </w:r>
    </w:p>
    <w:p w14:paraId="5397FF47" w14:textId="76439B63" w:rsidR="002C45FB" w:rsidRDefault="00F54DD1" w:rsidP="00593C8C">
      <w:pPr>
        <w:spacing w:after="0" w:line="360" w:lineRule="auto"/>
        <w:ind w:firstLine="720"/>
        <w:jc w:val="both"/>
        <w:rPr>
          <w:rFonts w:ascii="Sylfaen" w:hAnsi="Sylfaen"/>
          <w:sz w:val="24"/>
          <w:szCs w:val="24"/>
          <w:lang w:val="en-GB"/>
        </w:rPr>
      </w:pPr>
      <w:r w:rsidRPr="00F54DD1">
        <w:rPr>
          <w:rFonts w:ascii="Sylfaen" w:hAnsi="Sylfaen"/>
          <w:b/>
          <w:bCs/>
          <w:sz w:val="24"/>
          <w:szCs w:val="24"/>
          <w:lang w:val="en-GB"/>
        </w:rPr>
        <w:t xml:space="preserve">History of study/research: </w:t>
      </w:r>
      <w:r w:rsidRPr="00F54DD1">
        <w:rPr>
          <w:rFonts w:ascii="Sylfaen" w:hAnsi="Sylfaen"/>
          <w:sz w:val="24"/>
          <w:szCs w:val="24"/>
          <w:lang w:val="en-GB"/>
        </w:rPr>
        <w:t>The bridge is located in Ked</w:t>
      </w:r>
      <w:r>
        <w:rPr>
          <w:rFonts w:ascii="Sylfaen" w:hAnsi="Sylfaen"/>
          <w:sz w:val="24"/>
          <w:szCs w:val="24"/>
          <w:lang w:val="en-GB"/>
        </w:rPr>
        <w:t>a</w:t>
      </w:r>
      <w:r w:rsidRPr="00F54DD1">
        <w:rPr>
          <w:rFonts w:ascii="Sylfaen" w:hAnsi="Sylfaen"/>
          <w:sz w:val="24"/>
          <w:szCs w:val="24"/>
          <w:lang w:val="en-GB"/>
        </w:rPr>
        <w:t xml:space="preserve"> district, </w:t>
      </w:r>
      <w:r>
        <w:rPr>
          <w:rFonts w:ascii="Sylfaen" w:hAnsi="Sylfaen"/>
          <w:sz w:val="24"/>
          <w:szCs w:val="24"/>
          <w:lang w:val="en-GB"/>
        </w:rPr>
        <w:t>o</w:t>
      </w:r>
      <w:r w:rsidRPr="00F54DD1">
        <w:rPr>
          <w:rFonts w:ascii="Sylfaen" w:hAnsi="Sylfaen"/>
          <w:sz w:val="24"/>
          <w:szCs w:val="24"/>
          <w:lang w:val="en-GB"/>
        </w:rPr>
        <w:t xml:space="preserve">n the territory of </w:t>
      </w:r>
      <w:r>
        <w:rPr>
          <w:rFonts w:ascii="Sylfaen" w:hAnsi="Sylfaen"/>
          <w:sz w:val="24"/>
          <w:szCs w:val="24"/>
          <w:lang w:val="en-GB"/>
        </w:rPr>
        <w:t xml:space="preserve">the village </w:t>
      </w:r>
      <w:r w:rsidRPr="00F54DD1">
        <w:rPr>
          <w:rFonts w:ascii="Sylfaen" w:hAnsi="Sylfaen"/>
          <w:sz w:val="24"/>
          <w:szCs w:val="24"/>
          <w:lang w:val="en-GB"/>
        </w:rPr>
        <w:t xml:space="preserve">Dandalo, in </w:t>
      </w:r>
      <w:r>
        <w:rPr>
          <w:rFonts w:ascii="Sylfaen" w:hAnsi="Sylfaen"/>
          <w:sz w:val="24"/>
          <w:szCs w:val="24"/>
          <w:lang w:val="en-GB"/>
        </w:rPr>
        <w:t xml:space="preserve">the river </w:t>
      </w:r>
      <w:r w:rsidRPr="00F54DD1">
        <w:rPr>
          <w:rFonts w:ascii="Sylfaen" w:hAnsi="Sylfaen"/>
          <w:sz w:val="24"/>
          <w:szCs w:val="24"/>
          <w:lang w:val="en-GB"/>
        </w:rPr>
        <w:t>A</w:t>
      </w:r>
      <w:r w:rsidR="00FE355C">
        <w:rPr>
          <w:rFonts w:ascii="Sylfaen" w:hAnsi="Sylfaen"/>
          <w:sz w:val="24"/>
          <w:szCs w:val="24"/>
          <w:lang w:val="en-US"/>
        </w:rPr>
        <w:t>j</w:t>
      </w:r>
      <w:r w:rsidRPr="00F54DD1">
        <w:rPr>
          <w:rFonts w:ascii="Sylfaen" w:hAnsi="Sylfaen"/>
          <w:sz w:val="24"/>
          <w:szCs w:val="24"/>
          <w:lang w:val="en-GB"/>
        </w:rPr>
        <w:t>aris</w:t>
      </w:r>
      <w:r w:rsidR="00FE355C">
        <w:rPr>
          <w:rFonts w:ascii="Sylfaen" w:hAnsi="Sylfaen"/>
          <w:sz w:val="24"/>
          <w:szCs w:val="24"/>
          <w:lang w:val="en-GB"/>
        </w:rPr>
        <w:t>ts</w:t>
      </w:r>
      <w:r w:rsidRPr="00F54DD1">
        <w:rPr>
          <w:rFonts w:ascii="Sylfaen" w:hAnsi="Sylfaen"/>
          <w:sz w:val="24"/>
          <w:szCs w:val="24"/>
          <w:lang w:val="en-GB"/>
        </w:rPr>
        <w:t>kalli valley, on the border of Upper and Lower Ajara; of the central track and village between Dandalo, at the narrowest point of the river (</w:t>
      </w:r>
      <w:r w:rsidRPr="00FE355C">
        <w:rPr>
          <w:rFonts w:ascii="Sylfaen" w:hAnsi="Sylfaen"/>
          <w:color w:val="2E74B5" w:themeColor="accent5" w:themeShade="BF"/>
          <w:sz w:val="24"/>
          <w:szCs w:val="24"/>
          <w:lang w:val="en-GB"/>
        </w:rPr>
        <w:t>tab. I</w:t>
      </w:r>
      <w:r w:rsidRPr="00F54DD1">
        <w:rPr>
          <w:rFonts w:ascii="Sylfaen" w:hAnsi="Sylfaen"/>
          <w:sz w:val="24"/>
          <w:szCs w:val="24"/>
          <w:lang w:val="en-GB"/>
        </w:rPr>
        <w:t>). Dandalo Bridge is characterized by a thin arch and refined proportions. The wide bridge is built on a rock cut from a volcanic rock. The carriageway of the bridge is covered with uneven stones. The piers are erected on the rock. There are two rows of pits on each pier, three nests in each row. The upper three pits on the left pier have been built. The two rows of pits reveal that the scaffolding was arranged in two rows. Piers widen upwards. The right pier is built on a rock, and the left pier is cut into the water. Over the centuries, in order to strengthen or repair the bridge, two rows of stone piles have been added to the surface, which are completely different from the original ones in terms of size, shape or nature of piles, and change the original appearance of the bridge, making the constructions heavier. The bridge with its light arch makes an indelible impression on the visitor. Due to the peculiarity of the plan (in the shape of the Latin letter S) it is difficult to build such bridges from the point of view of construction techniques, because the loads are unevenly distributed. The length of the carriageway of the bridge is 35.9 m, width in the middle - 2.7 m, on the banks near the piers - 3.6 m; The length of the bridge horizontally from pier to pier - 21.7 m; Height from the water level to the "hump" of the arch - 8.5 m. Height from the water level to the arch - 7.6 m.</w:t>
      </w:r>
    </w:p>
    <w:p w14:paraId="092918C5" w14:textId="5C2E7844" w:rsidR="00F54DD1" w:rsidRDefault="00F54DD1" w:rsidP="00F54DD1">
      <w:pPr>
        <w:spacing w:after="0" w:line="360" w:lineRule="auto"/>
        <w:ind w:firstLine="720"/>
        <w:jc w:val="both"/>
        <w:rPr>
          <w:rFonts w:ascii="Sylfaen" w:hAnsi="Sylfaen"/>
          <w:b/>
          <w:bCs/>
          <w:color w:val="000000"/>
          <w:sz w:val="24"/>
          <w:szCs w:val="24"/>
          <w:lang w:val="en-GB"/>
        </w:rPr>
      </w:pPr>
      <w:r w:rsidRPr="00F54DD1">
        <w:rPr>
          <w:rFonts w:ascii="Sylfaen" w:hAnsi="Sylfaen"/>
          <w:b/>
          <w:bCs/>
          <w:color w:val="000000"/>
          <w:sz w:val="24"/>
          <w:szCs w:val="24"/>
          <w:lang w:val="en-GB"/>
        </w:rPr>
        <w:lastRenderedPageBreak/>
        <w:t xml:space="preserve">Classification. </w:t>
      </w:r>
      <w:r w:rsidRPr="00F54DD1">
        <w:rPr>
          <w:rFonts w:ascii="Sylfaen" w:hAnsi="Sylfaen"/>
          <w:color w:val="000000"/>
          <w:sz w:val="24"/>
          <w:szCs w:val="24"/>
          <w:lang w:val="en-GB"/>
        </w:rPr>
        <w:t>Until recently, the exact number of stone arch bridges in Ajara was not known. Different authors indicate different numbers of bridges. Today, a total of about 35 bridges have been recorded in Adjara. Most of them are in ruins, but about fifteen bridges are relatively well preserved. They are mainly located on old trade and caravan routes and connected both the inner and outer worlds.</w:t>
      </w:r>
    </w:p>
    <w:p w14:paraId="08A7F192" w14:textId="77777777" w:rsidR="00F54DD1" w:rsidRDefault="00F54DD1" w:rsidP="00F54DD1">
      <w:pPr>
        <w:spacing w:after="0" w:line="360" w:lineRule="auto"/>
        <w:ind w:firstLine="720"/>
        <w:jc w:val="both"/>
        <w:rPr>
          <w:rFonts w:ascii="Sylfaen" w:hAnsi="Sylfaen"/>
          <w:color w:val="000000"/>
          <w:sz w:val="24"/>
          <w:szCs w:val="24"/>
          <w:lang w:val="en-GB"/>
        </w:rPr>
      </w:pPr>
      <w:r w:rsidRPr="00F54DD1">
        <w:rPr>
          <w:rFonts w:ascii="Sylfaen" w:hAnsi="Sylfaen"/>
          <w:color w:val="000000"/>
          <w:sz w:val="24"/>
          <w:szCs w:val="24"/>
          <w:lang w:val="en-GB"/>
        </w:rPr>
        <w:t>The majority of stone arch bridges are concentrated in the territory of Adjara, the historical Tao-Klarjeti and Chanet</w:t>
      </w:r>
      <w:r>
        <w:rPr>
          <w:rFonts w:ascii="Sylfaen" w:hAnsi="Sylfaen"/>
          <w:color w:val="000000"/>
          <w:sz w:val="24"/>
          <w:szCs w:val="24"/>
          <w:lang w:val="en-GB"/>
        </w:rPr>
        <w:t>i</w:t>
      </w:r>
      <w:r w:rsidRPr="00F54DD1">
        <w:rPr>
          <w:rFonts w:ascii="Sylfaen" w:hAnsi="Sylfaen"/>
          <w:color w:val="000000"/>
          <w:sz w:val="24"/>
          <w:szCs w:val="24"/>
          <w:lang w:val="en-GB"/>
        </w:rPr>
        <w:t>-Lazeti regions. The art and architecture of the bridges here are almost the same. They are mainly classified into three groups:</w:t>
      </w:r>
    </w:p>
    <w:p w14:paraId="2DEB23C4" w14:textId="77777777" w:rsidR="00F54DD1" w:rsidRPr="00F54DD1" w:rsidRDefault="00F54DD1" w:rsidP="00F54DD1">
      <w:pPr>
        <w:spacing w:after="0" w:line="360" w:lineRule="auto"/>
        <w:ind w:firstLine="720"/>
        <w:rPr>
          <w:rFonts w:ascii="Sylfaen" w:hAnsi="Sylfaen"/>
          <w:color w:val="000000"/>
          <w:sz w:val="24"/>
          <w:szCs w:val="24"/>
          <w:lang w:val="en-GB"/>
        </w:rPr>
      </w:pPr>
      <w:r w:rsidRPr="00F54DD1">
        <w:rPr>
          <w:rFonts w:ascii="Sylfaen" w:hAnsi="Sylfaen"/>
          <w:color w:val="000000"/>
          <w:sz w:val="24"/>
          <w:szCs w:val="24"/>
          <w:lang w:val="en-GB"/>
        </w:rPr>
        <w:t>1. One-centered bridges based on a geometric basis (circle).</w:t>
      </w:r>
    </w:p>
    <w:p w14:paraId="30C7D2BF" w14:textId="77777777" w:rsidR="00F54DD1" w:rsidRPr="00F54DD1" w:rsidRDefault="00F54DD1" w:rsidP="00F54DD1">
      <w:pPr>
        <w:spacing w:after="0" w:line="360" w:lineRule="auto"/>
        <w:ind w:firstLine="720"/>
        <w:rPr>
          <w:rFonts w:ascii="Sylfaen" w:hAnsi="Sylfaen"/>
          <w:color w:val="000000"/>
          <w:sz w:val="24"/>
          <w:szCs w:val="24"/>
          <w:lang w:val="en-GB"/>
        </w:rPr>
      </w:pPr>
      <w:r w:rsidRPr="00F54DD1">
        <w:rPr>
          <w:rFonts w:ascii="Sylfaen" w:hAnsi="Sylfaen"/>
          <w:color w:val="000000"/>
          <w:sz w:val="24"/>
          <w:szCs w:val="24"/>
          <w:lang w:val="en-GB"/>
        </w:rPr>
        <w:t>2. Double, four-centered bridges raised on a horizontal platform</w:t>
      </w:r>
    </w:p>
    <w:p w14:paraId="7CECBA3B" w14:textId="77777777" w:rsidR="00F54DD1" w:rsidRPr="00F54DD1" w:rsidRDefault="00F54DD1" w:rsidP="00F54DD1">
      <w:pPr>
        <w:spacing w:after="0" w:line="360" w:lineRule="auto"/>
        <w:ind w:firstLine="720"/>
        <w:jc w:val="both"/>
        <w:rPr>
          <w:rFonts w:ascii="Sylfaen" w:hAnsi="Sylfaen"/>
          <w:color w:val="000000"/>
          <w:sz w:val="24"/>
          <w:szCs w:val="24"/>
          <w:lang w:val="en-GB"/>
        </w:rPr>
      </w:pPr>
      <w:r w:rsidRPr="00F54DD1">
        <w:rPr>
          <w:rFonts w:ascii="Sylfaen" w:hAnsi="Sylfaen"/>
          <w:color w:val="000000"/>
          <w:sz w:val="24"/>
          <w:szCs w:val="24"/>
          <w:lang w:val="en-GB"/>
        </w:rPr>
        <w:t>3. Circle-based multi-span stone arched bridges.</w:t>
      </w:r>
    </w:p>
    <w:p w14:paraId="20B16943" w14:textId="77777777" w:rsidR="00F54DD1" w:rsidRPr="008805F5" w:rsidRDefault="00F54DD1" w:rsidP="008805F5">
      <w:pPr>
        <w:spacing w:after="0" w:line="360" w:lineRule="auto"/>
        <w:ind w:firstLine="720"/>
        <w:jc w:val="both"/>
        <w:rPr>
          <w:rFonts w:ascii="Sylfaen" w:hAnsi="Sylfaen"/>
          <w:color w:val="000000"/>
          <w:sz w:val="24"/>
          <w:szCs w:val="24"/>
          <w:lang w:val="en-GB"/>
        </w:rPr>
      </w:pPr>
      <w:r w:rsidRPr="00F54DD1">
        <w:rPr>
          <w:rFonts w:ascii="Sylfaen" w:hAnsi="Sylfaen"/>
          <w:color w:val="000000"/>
          <w:sz w:val="24"/>
          <w:szCs w:val="24"/>
          <w:lang w:val="en-GB"/>
        </w:rPr>
        <w:t>The Dandalo Bridge is the best example of four-center bridges in Adjara. The bridge construction is based on two different radii, which requires two horizontal construction platforms, which is confirmed. Bridges of similar construction are few in Shavshet</w:t>
      </w:r>
      <w:r>
        <w:rPr>
          <w:rFonts w:ascii="Sylfaen" w:hAnsi="Sylfaen"/>
          <w:color w:val="000000"/>
          <w:sz w:val="24"/>
          <w:szCs w:val="24"/>
          <w:lang w:val="en-GB"/>
        </w:rPr>
        <w:t>i</w:t>
      </w:r>
      <w:r w:rsidRPr="00F54DD1">
        <w:rPr>
          <w:rFonts w:ascii="Sylfaen" w:hAnsi="Sylfaen"/>
          <w:color w:val="000000"/>
          <w:sz w:val="24"/>
          <w:szCs w:val="24"/>
          <w:lang w:val="en-GB"/>
        </w:rPr>
        <w:t>-Klarjeti, and relatively more in the coastal Chaneti-Lazeti.</w:t>
      </w:r>
    </w:p>
    <w:p w14:paraId="512004AF" w14:textId="77777777" w:rsidR="00593C8C" w:rsidRDefault="00593C8C" w:rsidP="00593C8C">
      <w:pPr>
        <w:spacing w:after="0" w:line="360" w:lineRule="auto"/>
        <w:ind w:firstLine="720"/>
        <w:jc w:val="both"/>
        <w:rPr>
          <w:rFonts w:ascii="Sylfaen" w:hAnsi="Sylfaen"/>
          <w:color w:val="000000"/>
          <w:sz w:val="24"/>
          <w:szCs w:val="24"/>
          <w:lang w:val="en-GB"/>
        </w:rPr>
      </w:pPr>
      <w:r w:rsidRPr="0018501B">
        <w:rPr>
          <w:rFonts w:ascii="Sylfaen" w:hAnsi="Sylfaen"/>
          <w:b/>
          <w:bCs/>
          <w:color w:val="000000"/>
          <w:sz w:val="24"/>
          <w:szCs w:val="24"/>
          <w:lang w:val="en-GB"/>
        </w:rPr>
        <w:t>Bibliography</w:t>
      </w:r>
      <w:r w:rsidRPr="0018501B">
        <w:rPr>
          <w:rFonts w:ascii="Sylfaen" w:hAnsi="Sylfaen"/>
          <w:color w:val="000000"/>
          <w:sz w:val="24"/>
          <w:szCs w:val="24"/>
          <w:lang w:val="en-GB"/>
        </w:rPr>
        <w:t xml:space="preserve">: </w:t>
      </w:r>
    </w:p>
    <w:p w14:paraId="54608324" w14:textId="13A997AA" w:rsidR="00F54DD1" w:rsidRPr="00F54DD1" w:rsidRDefault="00F54DD1" w:rsidP="008805F5">
      <w:pPr>
        <w:spacing w:after="0" w:line="360" w:lineRule="auto"/>
        <w:ind w:firstLine="720"/>
        <w:jc w:val="both"/>
        <w:rPr>
          <w:rFonts w:ascii="Sylfaen" w:hAnsi="Sylfaen"/>
          <w:color w:val="000000"/>
          <w:sz w:val="24"/>
          <w:szCs w:val="24"/>
          <w:lang w:val="en-GB"/>
        </w:rPr>
      </w:pPr>
      <w:r w:rsidRPr="00F54DD1">
        <w:rPr>
          <w:rFonts w:ascii="Sylfaen" w:hAnsi="Sylfaen"/>
          <w:color w:val="000000"/>
          <w:sz w:val="24"/>
          <w:szCs w:val="24"/>
          <w:lang w:val="en-GB"/>
        </w:rPr>
        <w:t xml:space="preserve">1. </w:t>
      </w:r>
      <w:r w:rsidRPr="00F54DD1">
        <w:rPr>
          <w:rFonts w:ascii="Sylfaen" w:hAnsi="Sylfaen"/>
          <w:b/>
          <w:bCs/>
          <w:color w:val="000000"/>
          <w:sz w:val="24"/>
          <w:szCs w:val="24"/>
          <w:lang w:val="en-GB"/>
        </w:rPr>
        <w:t>Varshanidze Sh</w:t>
      </w:r>
      <w:r w:rsidRPr="00F54DD1">
        <w:rPr>
          <w:rFonts w:ascii="Sylfaen" w:hAnsi="Sylfaen"/>
          <w:color w:val="000000"/>
          <w:sz w:val="24"/>
          <w:szCs w:val="24"/>
          <w:lang w:val="en-GB"/>
        </w:rPr>
        <w:t>., Roads and Road Structures in Ancient Ajara, Batumi, 1979</w:t>
      </w:r>
    </w:p>
    <w:p w14:paraId="1593E68E" w14:textId="6C2C1964" w:rsidR="00F54DD1" w:rsidRPr="00F54DD1" w:rsidRDefault="00F54DD1" w:rsidP="008805F5">
      <w:pPr>
        <w:spacing w:after="0" w:line="360" w:lineRule="auto"/>
        <w:ind w:firstLine="720"/>
        <w:jc w:val="both"/>
        <w:rPr>
          <w:rFonts w:ascii="Sylfaen" w:hAnsi="Sylfaen"/>
          <w:color w:val="000000"/>
          <w:sz w:val="24"/>
          <w:szCs w:val="24"/>
          <w:lang w:val="en-GB"/>
        </w:rPr>
      </w:pPr>
      <w:r w:rsidRPr="00F54DD1">
        <w:rPr>
          <w:rFonts w:ascii="Sylfaen" w:hAnsi="Sylfaen"/>
          <w:color w:val="000000"/>
          <w:sz w:val="24"/>
          <w:szCs w:val="24"/>
          <w:lang w:val="en-GB"/>
        </w:rPr>
        <w:t xml:space="preserve">2. </w:t>
      </w:r>
      <w:r w:rsidRPr="00F54DD1">
        <w:rPr>
          <w:rFonts w:ascii="Sylfaen" w:hAnsi="Sylfaen"/>
          <w:b/>
          <w:bCs/>
          <w:color w:val="000000"/>
          <w:sz w:val="24"/>
          <w:szCs w:val="24"/>
          <w:lang w:val="en-GB"/>
        </w:rPr>
        <w:t>Mamuladze Sh</w:t>
      </w:r>
      <w:r w:rsidRPr="00F54DD1">
        <w:rPr>
          <w:rFonts w:ascii="Sylfaen" w:hAnsi="Sylfaen"/>
          <w:color w:val="000000"/>
          <w:sz w:val="24"/>
          <w:szCs w:val="24"/>
          <w:lang w:val="en-GB"/>
        </w:rPr>
        <w:t>., Medieval Archaeological Monuments of the Ajarian Gorge, Batumi, 1993</w:t>
      </w:r>
    </w:p>
    <w:p w14:paraId="66008D55" w14:textId="77777777" w:rsidR="00F54DD1" w:rsidRPr="00F54DD1" w:rsidRDefault="00F54DD1" w:rsidP="008805F5">
      <w:pPr>
        <w:spacing w:after="0" w:line="360" w:lineRule="auto"/>
        <w:ind w:firstLine="720"/>
        <w:jc w:val="both"/>
        <w:rPr>
          <w:rFonts w:ascii="Sylfaen" w:hAnsi="Sylfaen"/>
          <w:color w:val="000000"/>
          <w:sz w:val="24"/>
          <w:szCs w:val="24"/>
          <w:lang w:val="en-GB"/>
        </w:rPr>
      </w:pPr>
      <w:r w:rsidRPr="00F54DD1">
        <w:rPr>
          <w:rFonts w:ascii="Sylfaen" w:hAnsi="Sylfaen"/>
          <w:color w:val="000000"/>
          <w:sz w:val="24"/>
          <w:szCs w:val="24"/>
          <w:lang w:val="en-GB"/>
        </w:rPr>
        <w:t xml:space="preserve">3. </w:t>
      </w:r>
      <w:r w:rsidRPr="00F54DD1">
        <w:rPr>
          <w:rFonts w:ascii="Sylfaen" w:hAnsi="Sylfaen"/>
          <w:b/>
          <w:bCs/>
          <w:color w:val="000000"/>
          <w:sz w:val="24"/>
          <w:szCs w:val="24"/>
          <w:lang w:val="en-GB"/>
        </w:rPr>
        <w:t>Mamuladze Sh</w:t>
      </w:r>
      <w:r w:rsidRPr="00F54DD1">
        <w:rPr>
          <w:rFonts w:ascii="Sylfaen" w:hAnsi="Sylfaen"/>
          <w:color w:val="000000"/>
          <w:sz w:val="24"/>
          <w:szCs w:val="24"/>
          <w:lang w:val="en-GB"/>
        </w:rPr>
        <w:t>., Roads, Road and Fortification Structures, in the collection, Essays on the History of South-West Georgia, Adjara II, Batumi, 2009 (</w:t>
      </w:r>
      <w:r w:rsidRPr="00FE355C">
        <w:rPr>
          <w:rFonts w:ascii="Sylfaen" w:hAnsi="Sylfaen"/>
          <w:color w:val="538135" w:themeColor="accent6" w:themeShade="BF"/>
          <w:sz w:val="24"/>
          <w:szCs w:val="24"/>
          <w:lang w:val="en-GB"/>
        </w:rPr>
        <w:t>pdf</w:t>
      </w:r>
      <w:r w:rsidRPr="00F54DD1">
        <w:rPr>
          <w:rFonts w:ascii="Sylfaen" w:hAnsi="Sylfaen"/>
          <w:color w:val="000000"/>
          <w:sz w:val="24"/>
          <w:szCs w:val="24"/>
          <w:lang w:val="en-GB"/>
        </w:rPr>
        <w:t>)</w:t>
      </w:r>
    </w:p>
    <w:p w14:paraId="3E3AD51D" w14:textId="72D6F9DA" w:rsidR="00F54DD1" w:rsidRPr="00F54DD1" w:rsidRDefault="00F54DD1" w:rsidP="008805F5">
      <w:pPr>
        <w:spacing w:after="0" w:line="360" w:lineRule="auto"/>
        <w:ind w:firstLine="720"/>
        <w:jc w:val="both"/>
        <w:rPr>
          <w:rFonts w:ascii="Sylfaen" w:hAnsi="Sylfaen"/>
          <w:color w:val="000000"/>
          <w:sz w:val="24"/>
          <w:szCs w:val="24"/>
          <w:lang w:val="en-GB"/>
        </w:rPr>
      </w:pPr>
      <w:r w:rsidRPr="00F54DD1">
        <w:rPr>
          <w:rFonts w:ascii="Sylfaen" w:hAnsi="Sylfaen"/>
          <w:color w:val="000000"/>
          <w:sz w:val="24"/>
          <w:szCs w:val="24"/>
          <w:lang w:val="en-GB"/>
        </w:rPr>
        <w:t xml:space="preserve">4. </w:t>
      </w:r>
      <w:r w:rsidRPr="00F54DD1">
        <w:rPr>
          <w:rFonts w:ascii="Sylfaen" w:hAnsi="Sylfaen"/>
          <w:b/>
          <w:bCs/>
          <w:color w:val="000000"/>
          <w:sz w:val="24"/>
          <w:szCs w:val="24"/>
          <w:lang w:val="en-GB"/>
        </w:rPr>
        <w:t>Kakhidze A., Mamuladze Sh</w:t>
      </w:r>
      <w:r w:rsidRPr="00F54DD1">
        <w:rPr>
          <w:rFonts w:ascii="Sylfaen" w:hAnsi="Sylfaen"/>
          <w:color w:val="000000"/>
          <w:sz w:val="24"/>
          <w:szCs w:val="24"/>
          <w:lang w:val="en-GB"/>
        </w:rPr>
        <w:t>., Archaeological Monuments of Ajara, Tbilisi 2016 (</w:t>
      </w:r>
      <w:r w:rsidRPr="00FE355C">
        <w:rPr>
          <w:rFonts w:ascii="Sylfaen" w:hAnsi="Sylfaen"/>
          <w:color w:val="538135" w:themeColor="accent6" w:themeShade="BF"/>
          <w:sz w:val="24"/>
          <w:szCs w:val="24"/>
          <w:lang w:val="en-GB"/>
        </w:rPr>
        <w:t>pdf</w:t>
      </w:r>
      <w:r w:rsidRPr="00F54DD1">
        <w:rPr>
          <w:rFonts w:ascii="Sylfaen" w:hAnsi="Sylfaen"/>
          <w:color w:val="000000"/>
          <w:sz w:val="24"/>
          <w:szCs w:val="24"/>
          <w:lang w:val="en-GB"/>
        </w:rPr>
        <w:t>)</w:t>
      </w:r>
    </w:p>
    <w:p w14:paraId="720E8E34" w14:textId="3C3C0905" w:rsidR="00F54DD1" w:rsidRDefault="00F54DD1" w:rsidP="008805F5">
      <w:pPr>
        <w:spacing w:after="0" w:line="360" w:lineRule="auto"/>
        <w:ind w:firstLine="720"/>
        <w:jc w:val="both"/>
        <w:rPr>
          <w:rFonts w:ascii="Sylfaen" w:hAnsi="Sylfaen"/>
          <w:color w:val="000000"/>
          <w:sz w:val="24"/>
          <w:szCs w:val="24"/>
          <w:lang w:val="en-GB"/>
        </w:rPr>
      </w:pPr>
      <w:r w:rsidRPr="00F54DD1">
        <w:rPr>
          <w:rFonts w:ascii="Sylfaen" w:hAnsi="Sylfaen"/>
          <w:color w:val="000000"/>
          <w:sz w:val="24"/>
          <w:szCs w:val="24"/>
          <w:lang w:val="en-GB"/>
        </w:rPr>
        <w:t xml:space="preserve">5. </w:t>
      </w:r>
      <w:r w:rsidRPr="00F54DD1">
        <w:rPr>
          <w:rFonts w:ascii="Sylfaen" w:hAnsi="Sylfaen"/>
          <w:b/>
          <w:bCs/>
          <w:color w:val="000000"/>
          <w:sz w:val="24"/>
          <w:szCs w:val="24"/>
          <w:lang w:val="en-GB"/>
        </w:rPr>
        <w:t>Mamuladze Sh</w:t>
      </w:r>
      <w:r w:rsidRPr="00F54DD1">
        <w:rPr>
          <w:rFonts w:ascii="Sylfaen" w:hAnsi="Sylfaen"/>
          <w:color w:val="000000"/>
          <w:sz w:val="24"/>
          <w:szCs w:val="24"/>
          <w:lang w:val="en-GB"/>
        </w:rPr>
        <w:t>., Stone Arch Bridges in Ajara, Batumi 2023</w:t>
      </w:r>
    </w:p>
    <w:p w14:paraId="33724479" w14:textId="77777777" w:rsidR="008805F5" w:rsidRDefault="008805F5" w:rsidP="00EF5DA4">
      <w:pPr>
        <w:spacing w:after="0" w:line="360" w:lineRule="auto"/>
        <w:ind w:firstLine="720"/>
        <w:jc w:val="both"/>
        <w:rPr>
          <w:rFonts w:ascii="Sylfaen" w:hAnsi="Sylfaen"/>
          <w:b/>
          <w:bCs/>
          <w:color w:val="000000"/>
          <w:sz w:val="24"/>
          <w:szCs w:val="24"/>
          <w:lang w:val="en-GB"/>
        </w:rPr>
      </w:pPr>
    </w:p>
    <w:p w14:paraId="41B998DE" w14:textId="61D85011" w:rsidR="00063434" w:rsidRPr="00864685" w:rsidRDefault="00EF5DA4" w:rsidP="008805F5">
      <w:pPr>
        <w:spacing w:after="0" w:line="360" w:lineRule="auto"/>
        <w:ind w:firstLine="720"/>
        <w:jc w:val="both"/>
        <w:rPr>
          <w:lang w:val="en-GB"/>
        </w:rPr>
      </w:pPr>
      <w:r w:rsidRPr="00EF5DA4">
        <w:rPr>
          <w:rFonts w:ascii="Sylfaen" w:hAnsi="Sylfaen"/>
          <w:b/>
          <w:bCs/>
          <w:color w:val="000000"/>
          <w:sz w:val="24"/>
          <w:szCs w:val="24"/>
          <w:lang w:val="en-GB"/>
        </w:rPr>
        <w:t>Passport compiled by</w:t>
      </w:r>
      <w:r w:rsidRPr="00EF5DA4">
        <w:rPr>
          <w:rFonts w:ascii="Sylfaen" w:hAnsi="Sylfaen"/>
          <w:color w:val="000000"/>
          <w:sz w:val="24"/>
          <w:szCs w:val="24"/>
          <w:lang w:val="en-GB"/>
        </w:rPr>
        <w:t xml:space="preserve">: </w:t>
      </w:r>
      <w:r w:rsidR="008805F5" w:rsidRPr="008805F5">
        <w:rPr>
          <w:rFonts w:ascii="Sylfaen" w:hAnsi="Sylfaen"/>
          <w:color w:val="000000"/>
          <w:sz w:val="24"/>
          <w:szCs w:val="24"/>
          <w:lang w:val="en-GB"/>
        </w:rPr>
        <w:t xml:space="preserve">Kakhaber </w:t>
      </w:r>
      <w:r w:rsidR="008805F5">
        <w:rPr>
          <w:rFonts w:ascii="Sylfaen" w:hAnsi="Sylfaen"/>
          <w:color w:val="000000"/>
          <w:sz w:val="24"/>
          <w:szCs w:val="24"/>
          <w:lang w:val="en-GB"/>
        </w:rPr>
        <w:t>K</w:t>
      </w:r>
      <w:r w:rsidR="008805F5" w:rsidRPr="008805F5">
        <w:rPr>
          <w:rFonts w:ascii="Sylfaen" w:hAnsi="Sylfaen"/>
          <w:color w:val="000000"/>
          <w:sz w:val="24"/>
          <w:szCs w:val="24"/>
          <w:lang w:val="en-GB"/>
        </w:rPr>
        <w:t>amadadze, Academic Doctor of Archaeology, Assistant Professor at Batumi Shota Rustaveli State University;</w:t>
      </w:r>
    </w:p>
    <w:sectPr w:rsidR="00063434" w:rsidRPr="00864685"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63434"/>
    <w:rsid w:val="00147B24"/>
    <w:rsid w:val="002C45FB"/>
    <w:rsid w:val="00485E96"/>
    <w:rsid w:val="00593C8C"/>
    <w:rsid w:val="006F65D6"/>
    <w:rsid w:val="007B4ECB"/>
    <w:rsid w:val="00864685"/>
    <w:rsid w:val="008805F5"/>
    <w:rsid w:val="009D2FA5"/>
    <w:rsid w:val="00B90953"/>
    <w:rsid w:val="00C61E1D"/>
    <w:rsid w:val="00EF5DA4"/>
    <w:rsid w:val="00EF7062"/>
    <w:rsid w:val="00F54DD1"/>
    <w:rsid w:val="00FE35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7956"/>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534268343">
      <w:bodyDiv w:val="1"/>
      <w:marLeft w:val="0"/>
      <w:marRight w:val="0"/>
      <w:marTop w:val="0"/>
      <w:marBottom w:val="0"/>
      <w:divBdr>
        <w:top w:val="none" w:sz="0" w:space="0" w:color="auto"/>
        <w:left w:val="none" w:sz="0" w:space="0" w:color="auto"/>
        <w:bottom w:val="none" w:sz="0" w:space="0" w:color="auto"/>
        <w:right w:val="none" w:sz="0" w:space="0" w:color="auto"/>
      </w:divBdr>
    </w:div>
    <w:div w:id="825365106">
      <w:bodyDiv w:val="1"/>
      <w:marLeft w:val="0"/>
      <w:marRight w:val="0"/>
      <w:marTop w:val="0"/>
      <w:marBottom w:val="0"/>
      <w:divBdr>
        <w:top w:val="none" w:sz="0" w:space="0" w:color="auto"/>
        <w:left w:val="none" w:sz="0" w:space="0" w:color="auto"/>
        <w:bottom w:val="none" w:sz="0" w:space="0" w:color="auto"/>
        <w:right w:val="none" w:sz="0" w:space="0" w:color="auto"/>
      </w:divBdr>
      <w:divsChild>
        <w:div w:id="94255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466920">
      <w:bodyDiv w:val="1"/>
      <w:marLeft w:val="0"/>
      <w:marRight w:val="0"/>
      <w:marTop w:val="0"/>
      <w:marBottom w:val="0"/>
      <w:divBdr>
        <w:top w:val="none" w:sz="0" w:space="0" w:color="auto"/>
        <w:left w:val="none" w:sz="0" w:space="0" w:color="auto"/>
        <w:bottom w:val="none" w:sz="0" w:space="0" w:color="auto"/>
        <w:right w:val="none" w:sz="0" w:space="0" w:color="auto"/>
      </w:divBdr>
    </w:div>
    <w:div w:id="1137265201">
      <w:bodyDiv w:val="1"/>
      <w:marLeft w:val="0"/>
      <w:marRight w:val="0"/>
      <w:marTop w:val="0"/>
      <w:marBottom w:val="0"/>
      <w:divBdr>
        <w:top w:val="none" w:sz="0" w:space="0" w:color="auto"/>
        <w:left w:val="none" w:sz="0" w:space="0" w:color="auto"/>
        <w:bottom w:val="none" w:sz="0" w:space="0" w:color="auto"/>
        <w:right w:val="none" w:sz="0" w:space="0" w:color="auto"/>
      </w:divBdr>
      <w:divsChild>
        <w:div w:id="10670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384791208">
      <w:bodyDiv w:val="1"/>
      <w:marLeft w:val="0"/>
      <w:marRight w:val="0"/>
      <w:marTop w:val="0"/>
      <w:marBottom w:val="0"/>
      <w:divBdr>
        <w:top w:val="none" w:sz="0" w:space="0" w:color="auto"/>
        <w:left w:val="none" w:sz="0" w:space="0" w:color="auto"/>
        <w:bottom w:val="none" w:sz="0" w:space="0" w:color="auto"/>
        <w:right w:val="none" w:sz="0" w:space="0" w:color="auto"/>
      </w:divBdr>
      <w:divsChild>
        <w:div w:id="1170367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6</cp:revision>
  <dcterms:created xsi:type="dcterms:W3CDTF">2026-06-23T19:03:00Z</dcterms:created>
  <dcterms:modified xsi:type="dcterms:W3CDTF">2026-08-19T11:17:00Z</dcterms:modified>
</cp:coreProperties>
</file>